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E0713" w14:textId="77777777" w:rsidR="00A53E89" w:rsidRDefault="00C57BA0" w:rsidP="00C57BA0">
      <w:pPr>
        <w:jc w:val="center"/>
        <w:rPr>
          <w:b/>
          <w:sz w:val="40"/>
        </w:rPr>
      </w:pPr>
      <w:r w:rsidRPr="00C57BA0">
        <w:rPr>
          <w:b/>
          <w:sz w:val="40"/>
        </w:rPr>
        <w:t>Antibiotic Lock Therapy Guideline</w:t>
      </w:r>
    </w:p>
    <w:p w14:paraId="0F0E0714" w14:textId="77777777" w:rsidR="003F52AC" w:rsidRPr="003F52AC" w:rsidRDefault="003F52AC" w:rsidP="003F52AC">
      <w:pPr>
        <w:spacing w:after="240"/>
        <w:rPr>
          <w:b/>
          <w:sz w:val="28"/>
          <w:szCs w:val="24"/>
        </w:rPr>
      </w:pPr>
      <w:r w:rsidRPr="003F52AC">
        <w:rPr>
          <w:b/>
          <w:sz w:val="28"/>
          <w:szCs w:val="24"/>
        </w:rPr>
        <w:t>Background</w:t>
      </w:r>
    </w:p>
    <w:p w14:paraId="0F0E0715" w14:textId="77777777" w:rsidR="003F52AC" w:rsidRPr="00057E3E" w:rsidRDefault="003F52AC" w:rsidP="0036783B">
      <w:pPr>
        <w:spacing w:after="0"/>
        <w:rPr>
          <w:sz w:val="24"/>
          <w:szCs w:val="24"/>
          <w:lang w:val="en"/>
        </w:rPr>
      </w:pPr>
      <w:r w:rsidRPr="00057E3E">
        <w:rPr>
          <w:sz w:val="24"/>
          <w:szCs w:val="24"/>
          <w:lang w:val="en"/>
        </w:rPr>
        <w:t>Clinical practice guidelines recommend antibiotic lock therapy (ALT) for both prevention and treatment of catheter-related infections (CRI). Guidelines from the Infectious Diseases Society of America (IDSA) for the diagnosis and management of CRI recommend antibiotic locks as adjunctive therapy specifically for catheter salvage in cases where the catheter is not removed.</w:t>
      </w:r>
    </w:p>
    <w:p w14:paraId="0F0E0716" w14:textId="77777777" w:rsidR="0036783B" w:rsidRPr="0036783B" w:rsidRDefault="0036783B" w:rsidP="0036783B">
      <w:pPr>
        <w:spacing w:after="0"/>
        <w:rPr>
          <w:sz w:val="12"/>
          <w:lang w:val="en"/>
        </w:rPr>
      </w:pPr>
    </w:p>
    <w:p w14:paraId="0F0E0717" w14:textId="77777777" w:rsidR="003F52AC" w:rsidRDefault="003F52AC" w:rsidP="0036783B">
      <w:pPr>
        <w:spacing w:after="0"/>
        <w:rPr>
          <w:b/>
          <w:sz w:val="28"/>
          <w:szCs w:val="24"/>
        </w:rPr>
      </w:pPr>
      <w:r w:rsidRPr="003F52AC">
        <w:rPr>
          <w:b/>
          <w:sz w:val="28"/>
          <w:szCs w:val="24"/>
        </w:rPr>
        <w:t>Procedure</w:t>
      </w:r>
    </w:p>
    <w:p w14:paraId="0F0E0718" w14:textId="77777777" w:rsidR="0036783B" w:rsidRPr="0036783B" w:rsidRDefault="0036783B" w:rsidP="0036783B">
      <w:pPr>
        <w:spacing w:after="0"/>
        <w:rPr>
          <w:b/>
          <w:sz w:val="12"/>
          <w:szCs w:val="24"/>
        </w:rPr>
      </w:pPr>
    </w:p>
    <w:p w14:paraId="0F0E0719" w14:textId="77777777" w:rsidR="003F52AC" w:rsidRDefault="003F52AC" w:rsidP="003F52AC">
      <w:pPr>
        <w:pStyle w:val="ListParagraph"/>
        <w:numPr>
          <w:ilvl w:val="0"/>
          <w:numId w:val="1"/>
        </w:numPr>
        <w:spacing w:after="240"/>
        <w:rPr>
          <w:b/>
          <w:sz w:val="24"/>
          <w:szCs w:val="24"/>
        </w:rPr>
      </w:pPr>
      <w:r w:rsidRPr="003F52AC">
        <w:rPr>
          <w:b/>
          <w:sz w:val="24"/>
          <w:szCs w:val="24"/>
        </w:rPr>
        <w:t xml:space="preserve">Once order for ALT is received, catheter identity and priming volume should be </w:t>
      </w:r>
      <w:r w:rsidR="00DD1171">
        <w:rPr>
          <w:b/>
          <w:sz w:val="24"/>
          <w:szCs w:val="24"/>
        </w:rPr>
        <w:t>determined</w:t>
      </w:r>
      <w:r w:rsidRPr="003F52AC">
        <w:rPr>
          <w:b/>
          <w:sz w:val="24"/>
          <w:szCs w:val="24"/>
        </w:rPr>
        <w:t xml:space="preserve"> with the assista</w:t>
      </w:r>
      <w:r>
        <w:rPr>
          <w:b/>
          <w:sz w:val="24"/>
          <w:szCs w:val="24"/>
        </w:rPr>
        <w:t>nce of b</w:t>
      </w:r>
      <w:r w:rsidR="00F461EA">
        <w:rPr>
          <w:b/>
          <w:sz w:val="24"/>
          <w:szCs w:val="24"/>
        </w:rPr>
        <w:t>oth physician and nursing staff to assure adequate final volume is prepared and delivered.</w:t>
      </w:r>
      <w:r w:rsidR="00C35DF3">
        <w:rPr>
          <w:b/>
          <w:sz w:val="24"/>
          <w:szCs w:val="24"/>
        </w:rPr>
        <w:t xml:space="preserve"> </w:t>
      </w:r>
    </w:p>
    <w:p w14:paraId="0F0E071A" w14:textId="77777777" w:rsidR="005A5077" w:rsidRPr="005A5077" w:rsidRDefault="005A5077" w:rsidP="00F461EA">
      <w:pPr>
        <w:pStyle w:val="ListParagraph"/>
        <w:numPr>
          <w:ilvl w:val="1"/>
          <w:numId w:val="1"/>
        </w:numPr>
        <w:spacing w:after="240"/>
        <w:rPr>
          <w:sz w:val="24"/>
          <w:szCs w:val="24"/>
        </w:rPr>
      </w:pPr>
      <w:r w:rsidRPr="005A5077">
        <w:rPr>
          <w:sz w:val="24"/>
          <w:szCs w:val="24"/>
        </w:rPr>
        <w:t>For typical priming volumes, see appendix A</w:t>
      </w:r>
    </w:p>
    <w:p w14:paraId="0F0E071B" w14:textId="77777777" w:rsidR="00F4420B" w:rsidRDefault="00F461EA" w:rsidP="00F4420B">
      <w:pPr>
        <w:pStyle w:val="ListParagraph"/>
        <w:numPr>
          <w:ilvl w:val="1"/>
          <w:numId w:val="1"/>
        </w:numPr>
        <w:spacing w:after="240"/>
        <w:rPr>
          <w:sz w:val="24"/>
          <w:szCs w:val="24"/>
        </w:rPr>
      </w:pPr>
      <w:r>
        <w:rPr>
          <w:sz w:val="24"/>
          <w:szCs w:val="24"/>
        </w:rPr>
        <w:t>Majority of catheter priming volumes will be less than 3 mL</w:t>
      </w:r>
    </w:p>
    <w:p w14:paraId="0F0E071C" w14:textId="77777777" w:rsidR="00232168" w:rsidRDefault="00232168" w:rsidP="00F4420B">
      <w:pPr>
        <w:pStyle w:val="ListParagraph"/>
        <w:numPr>
          <w:ilvl w:val="1"/>
          <w:numId w:val="1"/>
        </w:numPr>
        <w:spacing w:after="240"/>
        <w:rPr>
          <w:sz w:val="24"/>
          <w:szCs w:val="24"/>
        </w:rPr>
      </w:pPr>
      <w:r w:rsidRPr="00F4420B">
        <w:rPr>
          <w:sz w:val="24"/>
          <w:szCs w:val="24"/>
        </w:rPr>
        <w:t>Stock solution will be prepared and patient catheter specific volumes will be drawn up individually from stock solution.</w:t>
      </w:r>
    </w:p>
    <w:p w14:paraId="0F0E071D" w14:textId="77777777" w:rsidR="00057E3E" w:rsidRDefault="00057E3E" w:rsidP="00057E3E">
      <w:pPr>
        <w:pStyle w:val="ListParagraph"/>
        <w:spacing w:after="240"/>
        <w:ind w:left="1080"/>
        <w:rPr>
          <w:b/>
          <w:sz w:val="24"/>
          <w:szCs w:val="24"/>
        </w:rPr>
      </w:pPr>
    </w:p>
    <w:p w14:paraId="0F0E071E" w14:textId="77777777" w:rsidR="00C57BA0" w:rsidRPr="00DE34E9" w:rsidRDefault="00C57BA0" w:rsidP="00C57BA0">
      <w:pPr>
        <w:pStyle w:val="ListParagraph"/>
        <w:numPr>
          <w:ilvl w:val="0"/>
          <w:numId w:val="1"/>
        </w:numPr>
        <w:spacing w:after="240"/>
        <w:rPr>
          <w:b/>
          <w:sz w:val="24"/>
          <w:szCs w:val="24"/>
        </w:rPr>
      </w:pPr>
      <w:r w:rsidRPr="00DE34E9">
        <w:rPr>
          <w:b/>
          <w:sz w:val="24"/>
          <w:szCs w:val="24"/>
        </w:rPr>
        <w:t>Antibiotic Lock Solutions</w:t>
      </w:r>
      <w:r w:rsidR="00F461EA">
        <w:rPr>
          <w:b/>
          <w:sz w:val="24"/>
          <w:szCs w:val="24"/>
        </w:rPr>
        <w:t xml:space="preserve"> Standards at UConn Health/John Dempsey Hospital</w:t>
      </w:r>
    </w:p>
    <w:p w14:paraId="0F0E071F" w14:textId="77777777" w:rsidR="00C57BA0" w:rsidRPr="0070735D" w:rsidRDefault="00C57BA0" w:rsidP="00C57BA0">
      <w:pPr>
        <w:pStyle w:val="ListParagraph"/>
        <w:spacing w:after="240"/>
        <w:ind w:left="1080"/>
        <w:rPr>
          <w:sz w:val="12"/>
          <w:szCs w:val="24"/>
        </w:rPr>
      </w:pPr>
    </w:p>
    <w:tbl>
      <w:tblPr>
        <w:tblStyle w:val="LightList"/>
        <w:tblW w:w="9738" w:type="dxa"/>
        <w:tblLook w:val="04A0" w:firstRow="1" w:lastRow="0" w:firstColumn="1" w:lastColumn="0" w:noHBand="0" w:noVBand="1"/>
      </w:tblPr>
      <w:tblGrid>
        <w:gridCol w:w="2808"/>
        <w:gridCol w:w="3409"/>
        <w:gridCol w:w="3521"/>
      </w:tblGrid>
      <w:tr w:rsidR="00C35DF3" w14:paraId="0F0E0723" w14:textId="77777777" w:rsidTr="00C35DF3">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808" w:type="dxa"/>
          </w:tcPr>
          <w:p w14:paraId="0F0E0720" w14:textId="77777777" w:rsidR="00C35DF3" w:rsidRPr="00C57BA0" w:rsidRDefault="00C35DF3" w:rsidP="00C57BA0">
            <w:pPr>
              <w:pStyle w:val="ListParagraph"/>
              <w:ind w:left="0"/>
              <w:jc w:val="center"/>
              <w:rPr>
                <w:sz w:val="24"/>
                <w:szCs w:val="24"/>
              </w:rPr>
            </w:pPr>
            <w:r w:rsidRPr="00C57BA0">
              <w:rPr>
                <w:sz w:val="24"/>
                <w:szCs w:val="24"/>
              </w:rPr>
              <w:t>Antibiotic</w:t>
            </w:r>
          </w:p>
        </w:tc>
        <w:tc>
          <w:tcPr>
            <w:tcW w:w="3409" w:type="dxa"/>
          </w:tcPr>
          <w:p w14:paraId="0F0E0721" w14:textId="77777777" w:rsidR="00C35DF3" w:rsidRPr="00C57BA0" w:rsidRDefault="00C35DF3" w:rsidP="00C57BA0">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Final </w:t>
            </w:r>
            <w:r w:rsidRPr="00C57BA0">
              <w:rPr>
                <w:sz w:val="24"/>
                <w:szCs w:val="24"/>
              </w:rPr>
              <w:t>Concentration (mg/mL) in N</w:t>
            </w:r>
            <w:r w:rsidR="00F4420B">
              <w:rPr>
                <w:sz w:val="24"/>
                <w:szCs w:val="24"/>
              </w:rPr>
              <w:t xml:space="preserve">ormal </w:t>
            </w:r>
            <w:r w:rsidRPr="00C57BA0">
              <w:rPr>
                <w:sz w:val="24"/>
                <w:szCs w:val="24"/>
              </w:rPr>
              <w:t>S</w:t>
            </w:r>
            <w:r w:rsidR="00F4420B">
              <w:rPr>
                <w:sz w:val="24"/>
                <w:szCs w:val="24"/>
              </w:rPr>
              <w:t>aline</w:t>
            </w:r>
            <w:r>
              <w:rPr>
                <w:sz w:val="24"/>
                <w:szCs w:val="24"/>
              </w:rPr>
              <w:t>*</w:t>
            </w:r>
          </w:p>
        </w:tc>
        <w:tc>
          <w:tcPr>
            <w:tcW w:w="3521" w:type="dxa"/>
          </w:tcPr>
          <w:p w14:paraId="0F0E0722" w14:textId="77777777" w:rsidR="00C35DF3" w:rsidRPr="00C57BA0" w:rsidRDefault="00C35DF3" w:rsidP="00C57BA0">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Final Stock Solution Volume (mL)</w:t>
            </w:r>
          </w:p>
        </w:tc>
      </w:tr>
      <w:tr w:rsidR="00C35DF3" w14:paraId="0F0E0727" w14:textId="77777777" w:rsidTr="00C35DF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808" w:type="dxa"/>
          </w:tcPr>
          <w:p w14:paraId="0F0E0724" w14:textId="77777777" w:rsidR="00C35DF3" w:rsidRDefault="00C35DF3" w:rsidP="00C57BA0">
            <w:pPr>
              <w:pStyle w:val="ListParagraph"/>
              <w:ind w:left="0"/>
              <w:rPr>
                <w:sz w:val="24"/>
                <w:szCs w:val="24"/>
              </w:rPr>
            </w:pPr>
            <w:r>
              <w:rPr>
                <w:sz w:val="24"/>
                <w:szCs w:val="24"/>
              </w:rPr>
              <w:t>Vancomycin</w:t>
            </w:r>
          </w:p>
        </w:tc>
        <w:tc>
          <w:tcPr>
            <w:tcW w:w="3409" w:type="dxa"/>
          </w:tcPr>
          <w:p w14:paraId="0F0E0725" w14:textId="77777777" w:rsidR="00C35DF3" w:rsidRDefault="00C35DF3" w:rsidP="00C57B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3521" w:type="dxa"/>
          </w:tcPr>
          <w:p w14:paraId="0F0E0726" w14:textId="77777777" w:rsidR="00C35DF3" w:rsidRDefault="00C35DF3" w:rsidP="0070735D">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r w:rsidR="00C35DF3" w14:paraId="0F0E072B" w14:textId="77777777" w:rsidTr="00C35DF3">
        <w:trPr>
          <w:trHeight w:val="347"/>
        </w:trPr>
        <w:tc>
          <w:tcPr>
            <w:cnfStyle w:val="001000000000" w:firstRow="0" w:lastRow="0" w:firstColumn="1" w:lastColumn="0" w:oddVBand="0" w:evenVBand="0" w:oddHBand="0" w:evenHBand="0" w:firstRowFirstColumn="0" w:firstRowLastColumn="0" w:lastRowFirstColumn="0" w:lastRowLastColumn="0"/>
            <w:tcW w:w="2808" w:type="dxa"/>
          </w:tcPr>
          <w:p w14:paraId="0F0E0728" w14:textId="77777777" w:rsidR="00C35DF3" w:rsidRDefault="00C35DF3" w:rsidP="00C57BA0">
            <w:pPr>
              <w:pStyle w:val="ListParagraph"/>
              <w:ind w:left="0"/>
              <w:rPr>
                <w:sz w:val="24"/>
                <w:szCs w:val="24"/>
              </w:rPr>
            </w:pPr>
            <w:r>
              <w:rPr>
                <w:sz w:val="24"/>
                <w:szCs w:val="24"/>
              </w:rPr>
              <w:t>Cefazolin</w:t>
            </w:r>
          </w:p>
        </w:tc>
        <w:tc>
          <w:tcPr>
            <w:tcW w:w="3409" w:type="dxa"/>
          </w:tcPr>
          <w:p w14:paraId="0F0E0729" w14:textId="77777777" w:rsidR="00C35DF3" w:rsidRDefault="00C35DF3" w:rsidP="00C57B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c>
          <w:tcPr>
            <w:tcW w:w="3521" w:type="dxa"/>
          </w:tcPr>
          <w:p w14:paraId="0F0E072A" w14:textId="77777777" w:rsidR="00C35DF3" w:rsidRDefault="00C35DF3" w:rsidP="0070735D">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C35DF3" w14:paraId="0F0E072F" w14:textId="77777777" w:rsidTr="00C35DF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808" w:type="dxa"/>
          </w:tcPr>
          <w:p w14:paraId="0F0E072C" w14:textId="77777777" w:rsidR="00C35DF3" w:rsidRDefault="00C35DF3" w:rsidP="00C57BA0">
            <w:pPr>
              <w:pStyle w:val="ListParagraph"/>
              <w:ind w:left="0"/>
              <w:rPr>
                <w:sz w:val="24"/>
                <w:szCs w:val="24"/>
              </w:rPr>
            </w:pPr>
            <w:r>
              <w:rPr>
                <w:sz w:val="24"/>
                <w:szCs w:val="24"/>
              </w:rPr>
              <w:t>Ceftazidime</w:t>
            </w:r>
          </w:p>
        </w:tc>
        <w:tc>
          <w:tcPr>
            <w:tcW w:w="3409" w:type="dxa"/>
          </w:tcPr>
          <w:p w14:paraId="0F0E072D" w14:textId="77777777" w:rsidR="00C35DF3" w:rsidRDefault="00C35DF3" w:rsidP="00C57B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0.5</w:t>
            </w:r>
          </w:p>
        </w:tc>
        <w:tc>
          <w:tcPr>
            <w:tcW w:w="3521" w:type="dxa"/>
          </w:tcPr>
          <w:p w14:paraId="0F0E072E" w14:textId="77777777" w:rsidR="00C35DF3" w:rsidRDefault="00C35DF3" w:rsidP="0070735D">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r w:rsidR="00C35DF3" w14:paraId="0F0E0733" w14:textId="77777777" w:rsidTr="00C35DF3">
        <w:trPr>
          <w:trHeight w:val="332"/>
        </w:trPr>
        <w:tc>
          <w:tcPr>
            <w:cnfStyle w:val="001000000000" w:firstRow="0" w:lastRow="0" w:firstColumn="1" w:lastColumn="0" w:oddVBand="0" w:evenVBand="0" w:oddHBand="0" w:evenHBand="0" w:firstRowFirstColumn="0" w:firstRowLastColumn="0" w:lastRowFirstColumn="0" w:lastRowLastColumn="0"/>
            <w:tcW w:w="2808" w:type="dxa"/>
          </w:tcPr>
          <w:p w14:paraId="0F0E0730" w14:textId="77777777" w:rsidR="00C35DF3" w:rsidRDefault="00C35DF3" w:rsidP="00C57BA0">
            <w:pPr>
              <w:pStyle w:val="ListParagraph"/>
              <w:ind w:left="0"/>
              <w:rPr>
                <w:sz w:val="24"/>
                <w:szCs w:val="24"/>
              </w:rPr>
            </w:pPr>
            <w:r>
              <w:rPr>
                <w:sz w:val="24"/>
                <w:szCs w:val="24"/>
              </w:rPr>
              <w:t>Gentamicin</w:t>
            </w:r>
          </w:p>
        </w:tc>
        <w:tc>
          <w:tcPr>
            <w:tcW w:w="3409" w:type="dxa"/>
          </w:tcPr>
          <w:p w14:paraId="0F0E0731" w14:textId="77777777" w:rsidR="00C35DF3" w:rsidRDefault="00C35DF3" w:rsidP="00C57BA0">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3521" w:type="dxa"/>
          </w:tcPr>
          <w:p w14:paraId="0F0E0732" w14:textId="77777777" w:rsidR="00C35DF3" w:rsidRDefault="00C35DF3" w:rsidP="0070735D">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C35DF3" w14:paraId="0F0E0737" w14:textId="77777777" w:rsidTr="00C35D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808" w:type="dxa"/>
          </w:tcPr>
          <w:p w14:paraId="0F0E0734" w14:textId="77777777" w:rsidR="00C35DF3" w:rsidRDefault="00C35DF3" w:rsidP="00C57BA0">
            <w:pPr>
              <w:pStyle w:val="ListParagraph"/>
              <w:ind w:left="0"/>
              <w:rPr>
                <w:sz w:val="24"/>
                <w:szCs w:val="24"/>
              </w:rPr>
            </w:pPr>
            <w:r>
              <w:rPr>
                <w:sz w:val="24"/>
                <w:szCs w:val="24"/>
              </w:rPr>
              <w:t>Ampicillin</w:t>
            </w:r>
          </w:p>
        </w:tc>
        <w:tc>
          <w:tcPr>
            <w:tcW w:w="3409" w:type="dxa"/>
          </w:tcPr>
          <w:p w14:paraId="0F0E0735" w14:textId="77777777" w:rsidR="00C35DF3" w:rsidRDefault="00C35DF3" w:rsidP="00C57BA0">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3521" w:type="dxa"/>
          </w:tcPr>
          <w:p w14:paraId="0F0E0736" w14:textId="77777777" w:rsidR="00C35DF3" w:rsidRDefault="00C35DF3" w:rsidP="0070735D">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r w:rsidR="00F4420B" w:rsidRPr="00C57BA0" w14:paraId="0F0E073B" w14:textId="77777777" w:rsidTr="0026744E">
        <w:trPr>
          <w:trHeight w:val="347"/>
        </w:trPr>
        <w:tc>
          <w:tcPr>
            <w:cnfStyle w:val="001000000000" w:firstRow="0" w:lastRow="0" w:firstColumn="1" w:lastColumn="0" w:oddVBand="0" w:evenVBand="0" w:oddHBand="0" w:evenHBand="0" w:firstRowFirstColumn="0" w:firstRowLastColumn="0" w:lastRowFirstColumn="0" w:lastRowLastColumn="0"/>
            <w:tcW w:w="2808" w:type="dxa"/>
            <w:shd w:val="clear" w:color="auto" w:fill="000000" w:themeFill="text1"/>
          </w:tcPr>
          <w:p w14:paraId="0F0E0738" w14:textId="77777777" w:rsidR="00F4420B" w:rsidRPr="00C57BA0" w:rsidRDefault="0026744E" w:rsidP="00F4420B">
            <w:pPr>
              <w:pStyle w:val="ListParagraph"/>
              <w:ind w:left="0"/>
              <w:jc w:val="center"/>
              <w:rPr>
                <w:sz w:val="24"/>
                <w:szCs w:val="24"/>
              </w:rPr>
            </w:pPr>
            <w:r>
              <w:rPr>
                <w:sz w:val="24"/>
                <w:szCs w:val="24"/>
              </w:rPr>
              <w:t>Restricted Antimicrobial</w:t>
            </w:r>
            <w:r w:rsidR="00387385">
              <w:rPr>
                <w:sz w:val="24"/>
                <w:szCs w:val="24"/>
              </w:rPr>
              <w:t>**</w:t>
            </w:r>
          </w:p>
        </w:tc>
        <w:tc>
          <w:tcPr>
            <w:tcW w:w="3409" w:type="dxa"/>
            <w:shd w:val="clear" w:color="auto" w:fill="000000" w:themeFill="text1"/>
          </w:tcPr>
          <w:p w14:paraId="0F0E0739" w14:textId="77777777" w:rsidR="00F4420B" w:rsidRPr="0026744E" w:rsidRDefault="00F4420B" w:rsidP="0026744E">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4"/>
                <w:szCs w:val="24"/>
              </w:rPr>
            </w:pPr>
            <w:r w:rsidRPr="0026744E">
              <w:rPr>
                <w:b/>
                <w:sz w:val="24"/>
                <w:szCs w:val="24"/>
              </w:rPr>
              <w:t xml:space="preserve">Final Concentration (mg/mL) in </w:t>
            </w:r>
            <w:r w:rsidR="0026744E" w:rsidRPr="0026744E">
              <w:rPr>
                <w:b/>
                <w:sz w:val="24"/>
                <w:szCs w:val="24"/>
              </w:rPr>
              <w:t>Lactated Ringers</w:t>
            </w:r>
          </w:p>
        </w:tc>
        <w:tc>
          <w:tcPr>
            <w:tcW w:w="3521" w:type="dxa"/>
            <w:shd w:val="clear" w:color="auto" w:fill="000000" w:themeFill="text1"/>
          </w:tcPr>
          <w:p w14:paraId="0F0E073A" w14:textId="77777777" w:rsidR="00F4420B" w:rsidRPr="0026744E" w:rsidRDefault="00F4420B" w:rsidP="00F4420B">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4"/>
                <w:szCs w:val="24"/>
              </w:rPr>
            </w:pPr>
            <w:r w:rsidRPr="0026744E">
              <w:rPr>
                <w:b/>
                <w:sz w:val="24"/>
                <w:szCs w:val="24"/>
              </w:rPr>
              <w:t>Final Stock Solution Volume (mL)</w:t>
            </w:r>
          </w:p>
        </w:tc>
      </w:tr>
      <w:tr w:rsidR="00F4420B" w14:paraId="0F0E073F" w14:textId="77777777" w:rsidTr="00F4420B">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808" w:type="dxa"/>
          </w:tcPr>
          <w:p w14:paraId="0F0E073C" w14:textId="77777777" w:rsidR="00F4420B" w:rsidRDefault="00F4420B" w:rsidP="00F4420B">
            <w:pPr>
              <w:pStyle w:val="ListParagraph"/>
              <w:ind w:left="0"/>
              <w:rPr>
                <w:sz w:val="24"/>
                <w:szCs w:val="24"/>
              </w:rPr>
            </w:pPr>
            <w:proofErr w:type="spellStart"/>
            <w:r>
              <w:rPr>
                <w:sz w:val="24"/>
                <w:szCs w:val="24"/>
              </w:rPr>
              <w:t>Daptomycin</w:t>
            </w:r>
            <w:proofErr w:type="spellEnd"/>
          </w:p>
        </w:tc>
        <w:tc>
          <w:tcPr>
            <w:tcW w:w="3409" w:type="dxa"/>
          </w:tcPr>
          <w:p w14:paraId="0F0E073D" w14:textId="77777777" w:rsidR="00F4420B" w:rsidRDefault="00F4420B" w:rsidP="00F4420B">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3521" w:type="dxa"/>
          </w:tcPr>
          <w:p w14:paraId="0F0E073E" w14:textId="77777777" w:rsidR="00F4420B" w:rsidRDefault="00F4420B" w:rsidP="00F4420B">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bl>
    <w:p w14:paraId="0F0E0740" w14:textId="77777777" w:rsidR="00A31EE4" w:rsidRPr="00057E3E" w:rsidRDefault="00A31EE4" w:rsidP="00F4420B">
      <w:pPr>
        <w:spacing w:after="0"/>
        <w:rPr>
          <w:sz w:val="24"/>
          <w:szCs w:val="24"/>
        </w:rPr>
      </w:pPr>
      <w:r w:rsidRPr="00057E3E">
        <w:rPr>
          <w:sz w:val="24"/>
          <w:szCs w:val="24"/>
        </w:rPr>
        <w:lastRenderedPageBreak/>
        <w:t>*Normal saline</w:t>
      </w:r>
      <w:r w:rsidR="00F4420B" w:rsidRPr="00057E3E">
        <w:rPr>
          <w:sz w:val="24"/>
          <w:szCs w:val="24"/>
        </w:rPr>
        <w:t xml:space="preserve"> will the diluent of choice (</w:t>
      </w:r>
      <w:r w:rsidRPr="00057E3E">
        <w:rPr>
          <w:sz w:val="24"/>
          <w:szCs w:val="24"/>
        </w:rPr>
        <w:t xml:space="preserve">for </w:t>
      </w:r>
      <w:proofErr w:type="spellStart"/>
      <w:r w:rsidRPr="00057E3E">
        <w:rPr>
          <w:sz w:val="24"/>
          <w:szCs w:val="24"/>
        </w:rPr>
        <w:t>daptomycin</w:t>
      </w:r>
      <w:proofErr w:type="spellEnd"/>
      <w:r w:rsidR="00F4420B" w:rsidRPr="00057E3E">
        <w:rPr>
          <w:sz w:val="24"/>
          <w:szCs w:val="24"/>
        </w:rPr>
        <w:t xml:space="preserve"> Lactated Ringer’s </w:t>
      </w:r>
      <w:r w:rsidR="00FD3516" w:rsidRPr="00057E3E">
        <w:rPr>
          <w:sz w:val="24"/>
          <w:szCs w:val="24"/>
        </w:rPr>
        <w:t>will be used</w:t>
      </w:r>
      <w:r w:rsidRPr="00057E3E">
        <w:rPr>
          <w:sz w:val="24"/>
          <w:szCs w:val="24"/>
        </w:rPr>
        <w:t>)</w:t>
      </w:r>
      <w:r w:rsidR="00F4420B" w:rsidRPr="00057E3E">
        <w:rPr>
          <w:sz w:val="24"/>
          <w:szCs w:val="24"/>
        </w:rPr>
        <w:t xml:space="preserve">. </w:t>
      </w:r>
      <w:r w:rsidR="00FD7B40" w:rsidRPr="00057E3E">
        <w:rPr>
          <w:sz w:val="24"/>
          <w:szCs w:val="24"/>
        </w:rPr>
        <w:t>Antibiotic lock solutions with s</w:t>
      </w:r>
      <w:r w:rsidR="0057541B" w:rsidRPr="00057E3E">
        <w:rPr>
          <w:sz w:val="24"/>
          <w:szCs w:val="24"/>
        </w:rPr>
        <w:t xml:space="preserve">pecific heparin concentrations can be prepared following the preparation instructions </w:t>
      </w:r>
      <w:r w:rsidR="00FD7B40" w:rsidRPr="00057E3E">
        <w:rPr>
          <w:sz w:val="24"/>
          <w:szCs w:val="24"/>
        </w:rPr>
        <w:t>in section VI.</w:t>
      </w:r>
    </w:p>
    <w:p w14:paraId="0F0E0741" w14:textId="77777777" w:rsidR="00387385" w:rsidRPr="00057E3E" w:rsidRDefault="00387385" w:rsidP="00387385">
      <w:pPr>
        <w:rPr>
          <w:sz w:val="24"/>
          <w:szCs w:val="24"/>
        </w:rPr>
      </w:pPr>
      <w:r w:rsidRPr="00057E3E">
        <w:rPr>
          <w:sz w:val="24"/>
          <w:szCs w:val="24"/>
        </w:rPr>
        <w:t xml:space="preserve">**Infectious diseases consult required prior to use </w:t>
      </w:r>
    </w:p>
    <w:p w14:paraId="0F0E0742" w14:textId="77777777" w:rsidR="0026744E" w:rsidRDefault="0026744E">
      <w:pPr>
        <w:rPr>
          <w:sz w:val="20"/>
          <w:szCs w:val="24"/>
        </w:rPr>
      </w:pPr>
      <w:r>
        <w:rPr>
          <w:sz w:val="20"/>
          <w:szCs w:val="24"/>
        </w:rPr>
        <w:br w:type="page"/>
      </w:r>
    </w:p>
    <w:p w14:paraId="0F0E0743" w14:textId="77777777" w:rsidR="0070735D" w:rsidRDefault="003B279B" w:rsidP="0070735D">
      <w:pPr>
        <w:pStyle w:val="ListParagraph"/>
        <w:numPr>
          <w:ilvl w:val="0"/>
          <w:numId w:val="1"/>
        </w:numPr>
        <w:rPr>
          <w:b/>
          <w:sz w:val="24"/>
          <w:szCs w:val="24"/>
        </w:rPr>
      </w:pPr>
      <w:r>
        <w:rPr>
          <w:b/>
          <w:sz w:val="24"/>
          <w:szCs w:val="24"/>
        </w:rPr>
        <w:lastRenderedPageBreak/>
        <w:t xml:space="preserve">Antibiotic </w:t>
      </w:r>
      <w:r w:rsidR="0070735D" w:rsidRPr="00DE34E9">
        <w:rPr>
          <w:b/>
          <w:sz w:val="24"/>
          <w:szCs w:val="24"/>
        </w:rPr>
        <w:t>Lock Solution Preparation</w:t>
      </w:r>
      <w:r w:rsidR="00D437E9">
        <w:rPr>
          <w:b/>
          <w:sz w:val="24"/>
          <w:szCs w:val="24"/>
        </w:rPr>
        <w:t xml:space="preserve"> in</w:t>
      </w:r>
      <w:r w:rsidR="00427803">
        <w:rPr>
          <w:b/>
          <w:sz w:val="24"/>
          <w:szCs w:val="24"/>
        </w:rPr>
        <w:t xml:space="preserve"> N</w:t>
      </w:r>
      <w:r w:rsidR="00851EE4">
        <w:rPr>
          <w:b/>
          <w:sz w:val="24"/>
          <w:szCs w:val="24"/>
        </w:rPr>
        <w:t>ormal Saline</w:t>
      </w:r>
      <w:r w:rsidR="00D437E9">
        <w:rPr>
          <w:b/>
          <w:sz w:val="24"/>
          <w:szCs w:val="24"/>
        </w:rPr>
        <w:t xml:space="preserve"> (NS)</w:t>
      </w:r>
      <w:r w:rsidR="00851EE4">
        <w:rPr>
          <w:b/>
          <w:sz w:val="24"/>
          <w:szCs w:val="24"/>
        </w:rPr>
        <w:t xml:space="preserve"> </w:t>
      </w:r>
      <w:r w:rsidR="00D437E9">
        <w:rPr>
          <w:b/>
          <w:sz w:val="24"/>
          <w:szCs w:val="24"/>
        </w:rPr>
        <w:t>or Lactated Ringers (LR)</w:t>
      </w:r>
    </w:p>
    <w:p w14:paraId="0F0E0744" w14:textId="77777777" w:rsidR="00851EE4" w:rsidRPr="00DE34E9" w:rsidRDefault="00851EE4" w:rsidP="00851EE4">
      <w:pPr>
        <w:pStyle w:val="ListParagraph"/>
        <w:numPr>
          <w:ilvl w:val="1"/>
          <w:numId w:val="1"/>
        </w:numPr>
        <w:rPr>
          <w:b/>
          <w:sz w:val="24"/>
          <w:szCs w:val="24"/>
        </w:rPr>
      </w:pPr>
      <w:r w:rsidRPr="00064A08">
        <w:rPr>
          <w:sz w:val="24"/>
          <w:szCs w:val="24"/>
        </w:rPr>
        <w:t>Stock solution will be prepared and patient catheter specific volumes will be drawn up individually from stock solution.</w:t>
      </w:r>
    </w:p>
    <w:p w14:paraId="0F0E0745" w14:textId="77777777" w:rsidR="00520B68" w:rsidRPr="00520B68" w:rsidRDefault="00520B68" w:rsidP="00520B68">
      <w:pPr>
        <w:pStyle w:val="ListParagraph"/>
        <w:ind w:left="1080"/>
        <w:rPr>
          <w:b/>
          <w:sz w:val="12"/>
          <w:szCs w:val="24"/>
        </w:rPr>
      </w:pPr>
    </w:p>
    <w:tbl>
      <w:tblPr>
        <w:tblStyle w:val="LightList"/>
        <w:tblW w:w="9696" w:type="dxa"/>
        <w:tblLook w:val="04A0" w:firstRow="1" w:lastRow="0" w:firstColumn="1" w:lastColumn="0" w:noHBand="0" w:noVBand="1"/>
      </w:tblPr>
      <w:tblGrid>
        <w:gridCol w:w="2808"/>
        <w:gridCol w:w="6888"/>
      </w:tblGrid>
      <w:tr w:rsidR="00C0079F" w14:paraId="0F0E0748" w14:textId="77777777" w:rsidTr="001948F9">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46" w14:textId="77777777" w:rsidR="00C0079F" w:rsidRPr="00C0079F" w:rsidRDefault="00C0079F" w:rsidP="001948F9">
            <w:pPr>
              <w:pStyle w:val="ListParagraph"/>
              <w:ind w:left="0"/>
              <w:jc w:val="center"/>
              <w:rPr>
                <w:sz w:val="24"/>
                <w:szCs w:val="24"/>
              </w:rPr>
            </w:pPr>
            <w:r>
              <w:rPr>
                <w:sz w:val="24"/>
                <w:szCs w:val="24"/>
              </w:rPr>
              <w:t>Antibiotic Solution and Final Con</w:t>
            </w:r>
            <w:r w:rsidR="001948F9">
              <w:rPr>
                <w:sz w:val="24"/>
                <w:szCs w:val="24"/>
              </w:rPr>
              <w:t>c</w:t>
            </w:r>
            <w:r>
              <w:rPr>
                <w:sz w:val="24"/>
                <w:szCs w:val="24"/>
              </w:rPr>
              <w:t>entration</w:t>
            </w:r>
            <w:r w:rsidR="001948F9">
              <w:rPr>
                <w:sz w:val="24"/>
                <w:szCs w:val="24"/>
              </w:rPr>
              <w:t>s</w:t>
            </w:r>
          </w:p>
        </w:tc>
        <w:tc>
          <w:tcPr>
            <w:tcW w:w="6888" w:type="dxa"/>
          </w:tcPr>
          <w:p w14:paraId="0F0E0747" w14:textId="77777777" w:rsidR="00C0079F" w:rsidRPr="00C0079F" w:rsidRDefault="006C7CC2" w:rsidP="001948F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Stock Solution </w:t>
            </w:r>
            <w:r w:rsidR="001948F9">
              <w:rPr>
                <w:sz w:val="24"/>
                <w:szCs w:val="24"/>
              </w:rPr>
              <w:t>Preparation Instructions</w:t>
            </w:r>
          </w:p>
        </w:tc>
      </w:tr>
      <w:tr w:rsidR="0036783B" w14:paraId="0F0E074F" w14:textId="77777777" w:rsidTr="001948F9">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49" w14:textId="77777777" w:rsidR="0036783B" w:rsidRPr="00520B68" w:rsidRDefault="0036783B" w:rsidP="00777DA2">
            <w:pPr>
              <w:pStyle w:val="ListParagraph"/>
              <w:ind w:left="0"/>
              <w:jc w:val="both"/>
              <w:rPr>
                <w:b w:val="0"/>
                <w:sz w:val="24"/>
                <w:szCs w:val="24"/>
              </w:rPr>
            </w:pPr>
            <w:r>
              <w:rPr>
                <w:b w:val="0"/>
                <w:sz w:val="24"/>
                <w:szCs w:val="24"/>
              </w:rPr>
              <w:t>Vancom</w:t>
            </w:r>
            <w:r w:rsidR="00777DA2">
              <w:rPr>
                <w:b w:val="0"/>
                <w:sz w:val="24"/>
                <w:szCs w:val="24"/>
              </w:rPr>
              <w:t xml:space="preserve">ycin 5 mg/mL </w:t>
            </w:r>
          </w:p>
        </w:tc>
        <w:tc>
          <w:tcPr>
            <w:tcW w:w="6888" w:type="dxa"/>
          </w:tcPr>
          <w:p w14:paraId="0F0E074A" w14:textId="77777777" w:rsidR="0036783B" w:rsidRDefault="0036783B" w:rsidP="000E7D9B">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Dilute 500 mg of vancomycin with </w:t>
            </w:r>
            <w:r w:rsidR="00777DA2">
              <w:rPr>
                <w:sz w:val="24"/>
                <w:szCs w:val="24"/>
              </w:rPr>
              <w:t>20</w:t>
            </w:r>
            <w:r>
              <w:rPr>
                <w:sz w:val="24"/>
                <w:szCs w:val="24"/>
              </w:rPr>
              <w:t xml:space="preserve"> mL of NS (</w:t>
            </w:r>
            <w:r w:rsidR="00777DA2">
              <w:rPr>
                <w:sz w:val="24"/>
                <w:szCs w:val="24"/>
              </w:rPr>
              <w:t>25</w:t>
            </w:r>
            <w:r>
              <w:rPr>
                <w:sz w:val="24"/>
                <w:szCs w:val="24"/>
              </w:rPr>
              <w:t xml:space="preserve"> mg/mL)</w:t>
            </w:r>
          </w:p>
          <w:p w14:paraId="0F0E074B" w14:textId="77777777" w:rsidR="00DA153E" w:rsidRDefault="00DA153E" w:rsidP="000E7D9B">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Remove 0.6</w:t>
            </w:r>
            <w:r w:rsidR="0036783B">
              <w:rPr>
                <w:sz w:val="24"/>
                <w:szCs w:val="24"/>
              </w:rPr>
              <w:t xml:space="preserve"> mL of vancomycin</w:t>
            </w:r>
            <w:r w:rsidR="00777DA2">
              <w:rPr>
                <w:sz w:val="24"/>
                <w:szCs w:val="24"/>
              </w:rPr>
              <w:t xml:space="preserve"> solution (</w:t>
            </w:r>
            <w:r w:rsidR="00F1687B">
              <w:rPr>
                <w:sz w:val="24"/>
                <w:szCs w:val="24"/>
              </w:rPr>
              <w:t xml:space="preserve">vancomycin </w:t>
            </w:r>
            <w:r>
              <w:rPr>
                <w:sz w:val="24"/>
                <w:szCs w:val="24"/>
              </w:rPr>
              <w:t>15</w:t>
            </w:r>
            <w:r w:rsidR="0036783B">
              <w:rPr>
                <w:sz w:val="24"/>
                <w:szCs w:val="24"/>
              </w:rPr>
              <w:t xml:space="preserve">mg) </w:t>
            </w:r>
          </w:p>
          <w:p w14:paraId="0F0E074C" w14:textId="77777777" w:rsidR="0036783B" w:rsidRDefault="00DA153E" w:rsidP="000E7D9B">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QS with NS to 3 mL </w:t>
            </w:r>
            <w:r w:rsidR="0036783B">
              <w:rPr>
                <w:sz w:val="24"/>
                <w:szCs w:val="24"/>
              </w:rPr>
              <w:t>resultin</w:t>
            </w:r>
            <w:r w:rsidR="00777DA2">
              <w:rPr>
                <w:sz w:val="24"/>
                <w:szCs w:val="24"/>
              </w:rPr>
              <w:t>g in concentration of 5 mg/mL</w:t>
            </w:r>
          </w:p>
          <w:p w14:paraId="0F0E074D" w14:textId="77777777" w:rsidR="00777DA2" w:rsidRDefault="00DA153E" w:rsidP="000E7D9B">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Final volume of 3 </w:t>
            </w:r>
            <w:r w:rsidR="00777DA2">
              <w:rPr>
                <w:sz w:val="24"/>
                <w:szCs w:val="24"/>
              </w:rPr>
              <w:t>mL</w:t>
            </w:r>
          </w:p>
          <w:p w14:paraId="0F0E074E" w14:textId="77777777" w:rsidR="0036783B" w:rsidRPr="00777DA2" w:rsidRDefault="0036783B" w:rsidP="00777DA2">
            <w:pPr>
              <w:cnfStyle w:val="000000100000" w:firstRow="0" w:lastRow="0" w:firstColumn="0" w:lastColumn="0" w:oddVBand="0" w:evenVBand="0" w:oddHBand="1" w:evenHBand="0" w:firstRowFirstColumn="0" w:firstRowLastColumn="0" w:lastRowFirstColumn="0" w:lastRowLastColumn="0"/>
              <w:rPr>
                <w:sz w:val="12"/>
                <w:szCs w:val="24"/>
              </w:rPr>
            </w:pPr>
          </w:p>
        </w:tc>
      </w:tr>
      <w:tr w:rsidR="0036783B" w14:paraId="0F0E0756" w14:textId="77777777" w:rsidTr="001948F9">
        <w:trPr>
          <w:trHeight w:val="285"/>
        </w:trPr>
        <w:tc>
          <w:tcPr>
            <w:cnfStyle w:val="001000000000" w:firstRow="0" w:lastRow="0" w:firstColumn="1" w:lastColumn="0" w:oddVBand="0" w:evenVBand="0" w:oddHBand="0" w:evenHBand="0" w:firstRowFirstColumn="0" w:firstRowLastColumn="0" w:lastRowFirstColumn="0" w:lastRowLastColumn="0"/>
            <w:tcW w:w="2808" w:type="dxa"/>
          </w:tcPr>
          <w:p w14:paraId="0F0E0750" w14:textId="77777777" w:rsidR="0036783B" w:rsidRDefault="00777DA2" w:rsidP="00777DA2">
            <w:pPr>
              <w:pStyle w:val="ListParagraph"/>
              <w:ind w:left="0"/>
              <w:rPr>
                <w:b w:val="0"/>
                <w:sz w:val="24"/>
                <w:szCs w:val="24"/>
              </w:rPr>
            </w:pPr>
            <w:r>
              <w:rPr>
                <w:b w:val="0"/>
                <w:sz w:val="24"/>
                <w:szCs w:val="24"/>
              </w:rPr>
              <w:t>Cefazolin 5 mg/mL</w:t>
            </w:r>
          </w:p>
        </w:tc>
        <w:tc>
          <w:tcPr>
            <w:tcW w:w="6888" w:type="dxa"/>
          </w:tcPr>
          <w:p w14:paraId="0F0E0751" w14:textId="77777777" w:rsidR="0036783B" w:rsidRDefault="0036783B" w:rsidP="00DA15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Di</w:t>
            </w:r>
            <w:r w:rsidR="00777DA2">
              <w:rPr>
                <w:sz w:val="24"/>
                <w:szCs w:val="24"/>
              </w:rPr>
              <w:t>lute 500 mg of cefazolin with 20 mL of normal saline (25 mg/mL)</w:t>
            </w:r>
          </w:p>
          <w:p w14:paraId="0F0E0752" w14:textId="77777777" w:rsidR="00DA153E" w:rsidRDefault="00DA153E" w:rsidP="00DA15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Remove 0.6</w:t>
            </w:r>
            <w:r w:rsidR="00777DA2">
              <w:rPr>
                <w:sz w:val="24"/>
                <w:szCs w:val="24"/>
              </w:rPr>
              <w:t xml:space="preserve"> mL of the cefazolin </w:t>
            </w:r>
            <w:r w:rsidR="0036783B">
              <w:rPr>
                <w:sz w:val="24"/>
                <w:szCs w:val="24"/>
              </w:rPr>
              <w:t>solution</w:t>
            </w:r>
            <w:r w:rsidR="00777DA2">
              <w:rPr>
                <w:sz w:val="24"/>
                <w:szCs w:val="24"/>
              </w:rPr>
              <w:t xml:space="preserve"> (</w:t>
            </w:r>
            <w:r w:rsidR="00F1687B">
              <w:rPr>
                <w:sz w:val="24"/>
                <w:szCs w:val="24"/>
              </w:rPr>
              <w:t xml:space="preserve">cefazolin </w:t>
            </w:r>
            <w:r>
              <w:rPr>
                <w:sz w:val="24"/>
                <w:szCs w:val="24"/>
              </w:rPr>
              <w:t>15</w:t>
            </w:r>
            <w:r w:rsidR="00777DA2">
              <w:rPr>
                <w:sz w:val="24"/>
                <w:szCs w:val="24"/>
              </w:rPr>
              <w:t xml:space="preserve"> mg)</w:t>
            </w:r>
          </w:p>
          <w:p w14:paraId="0F0E0753" w14:textId="77777777" w:rsidR="00DA153E" w:rsidRDefault="00DA153E" w:rsidP="00DA15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QS with NS to 3 mL resulting in concentration of 5 mg/mL</w:t>
            </w:r>
          </w:p>
          <w:p w14:paraId="0F0E0754" w14:textId="77777777" w:rsidR="0036783B" w:rsidRDefault="00DA153E" w:rsidP="00DA15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Final volume of 3</w:t>
            </w:r>
            <w:r w:rsidR="00777DA2">
              <w:rPr>
                <w:sz w:val="24"/>
                <w:szCs w:val="24"/>
              </w:rPr>
              <w:t xml:space="preserve"> mL</w:t>
            </w:r>
          </w:p>
          <w:p w14:paraId="0F0E0755" w14:textId="77777777" w:rsidR="0036783B" w:rsidRPr="007675E9" w:rsidRDefault="0036783B" w:rsidP="00D30EF3">
            <w:pPr>
              <w:pStyle w:val="ListParagraph"/>
              <w:cnfStyle w:val="000000000000" w:firstRow="0" w:lastRow="0" w:firstColumn="0" w:lastColumn="0" w:oddVBand="0" w:evenVBand="0" w:oddHBand="0" w:evenHBand="0" w:firstRowFirstColumn="0" w:firstRowLastColumn="0" w:lastRowFirstColumn="0" w:lastRowLastColumn="0"/>
              <w:rPr>
                <w:sz w:val="12"/>
                <w:szCs w:val="24"/>
              </w:rPr>
            </w:pPr>
          </w:p>
        </w:tc>
      </w:tr>
      <w:tr w:rsidR="0036783B" w14:paraId="0F0E075E" w14:textId="77777777" w:rsidTr="001948F9">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57" w14:textId="77777777" w:rsidR="0036783B" w:rsidRDefault="0036783B" w:rsidP="003C0EC8">
            <w:pPr>
              <w:pStyle w:val="ListParagraph"/>
              <w:ind w:left="0"/>
              <w:rPr>
                <w:b w:val="0"/>
                <w:sz w:val="24"/>
                <w:szCs w:val="24"/>
              </w:rPr>
            </w:pPr>
            <w:r>
              <w:rPr>
                <w:b w:val="0"/>
                <w:sz w:val="24"/>
                <w:szCs w:val="24"/>
              </w:rPr>
              <w:t xml:space="preserve">Ceftazidime 0.5 mg/mL </w:t>
            </w:r>
          </w:p>
        </w:tc>
        <w:tc>
          <w:tcPr>
            <w:tcW w:w="6888" w:type="dxa"/>
          </w:tcPr>
          <w:p w14:paraId="0F0E0758" w14:textId="77777777" w:rsidR="0036783B" w:rsidRDefault="0036783B" w:rsidP="00AF3A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Dilute 1,000 mg ceftazidime product with 10 mL of NS (100 mg/mL) – label “solution A”</w:t>
            </w:r>
          </w:p>
          <w:p w14:paraId="0F0E0759" w14:textId="77777777" w:rsidR="0036783B" w:rsidRDefault="0036783B" w:rsidP="00AF3A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Remove 1 mL of solution A (ceftazidime 100 mg) and further dilute with 19 mL of NS resulting in a concentration of 5 mg/mL – label “solution B”</w:t>
            </w:r>
          </w:p>
          <w:p w14:paraId="0F0E075A" w14:textId="77777777" w:rsidR="005B0F4D" w:rsidRDefault="005B0F4D" w:rsidP="00AF3A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Withdraw 0.3 mL of solution B (1</w:t>
            </w:r>
            <w:r w:rsidR="00C74B1E">
              <w:rPr>
                <w:sz w:val="24"/>
                <w:szCs w:val="24"/>
              </w:rPr>
              <w:t xml:space="preserve">.5 </w:t>
            </w:r>
            <w:r w:rsidR="0036783B">
              <w:rPr>
                <w:sz w:val="24"/>
                <w:szCs w:val="24"/>
              </w:rPr>
              <w:t xml:space="preserve">mg) </w:t>
            </w:r>
          </w:p>
          <w:p w14:paraId="0F0E075B" w14:textId="77777777" w:rsidR="0036783B" w:rsidRDefault="005B0F4D" w:rsidP="00AF3A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QS with NS to 3 mL</w:t>
            </w:r>
            <w:r w:rsidR="00C74B1E">
              <w:rPr>
                <w:sz w:val="24"/>
                <w:szCs w:val="24"/>
              </w:rPr>
              <w:t xml:space="preserve"> for a final concentration of 0.5 mg/mL </w:t>
            </w:r>
          </w:p>
          <w:p w14:paraId="0F0E075C" w14:textId="77777777" w:rsidR="00C74B1E" w:rsidRDefault="005B0F4D" w:rsidP="00AF3A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Final volume of 3</w:t>
            </w:r>
            <w:r w:rsidR="00C74B1E">
              <w:rPr>
                <w:sz w:val="24"/>
                <w:szCs w:val="24"/>
              </w:rPr>
              <w:t xml:space="preserve"> mL</w:t>
            </w:r>
          </w:p>
          <w:p w14:paraId="0F0E075D" w14:textId="77777777" w:rsidR="0036783B" w:rsidRPr="007675E9" w:rsidRDefault="0036783B" w:rsidP="00AF3AA1">
            <w:pPr>
              <w:pStyle w:val="ListParagraph"/>
              <w:cnfStyle w:val="000000100000" w:firstRow="0" w:lastRow="0" w:firstColumn="0" w:lastColumn="0" w:oddVBand="0" w:evenVBand="0" w:oddHBand="1" w:evenHBand="0" w:firstRowFirstColumn="0" w:firstRowLastColumn="0" w:lastRowFirstColumn="0" w:lastRowLastColumn="0"/>
              <w:rPr>
                <w:sz w:val="12"/>
                <w:szCs w:val="24"/>
              </w:rPr>
            </w:pPr>
          </w:p>
        </w:tc>
      </w:tr>
      <w:tr w:rsidR="0036783B" w14:paraId="0F0E0764" w14:textId="77777777" w:rsidTr="001948F9">
        <w:trPr>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5F" w14:textId="77777777" w:rsidR="0036783B" w:rsidRDefault="003C0EC8" w:rsidP="003C0EC8">
            <w:pPr>
              <w:pStyle w:val="ListParagraph"/>
              <w:ind w:left="0"/>
              <w:rPr>
                <w:b w:val="0"/>
                <w:sz w:val="24"/>
                <w:szCs w:val="24"/>
              </w:rPr>
            </w:pPr>
            <w:r>
              <w:rPr>
                <w:b w:val="0"/>
                <w:sz w:val="24"/>
                <w:szCs w:val="24"/>
              </w:rPr>
              <w:t xml:space="preserve">Gentamicin 1 mg/mL </w:t>
            </w:r>
          </w:p>
        </w:tc>
        <w:tc>
          <w:tcPr>
            <w:tcW w:w="6888" w:type="dxa"/>
          </w:tcPr>
          <w:p w14:paraId="0F0E0760" w14:textId="77777777" w:rsidR="0036783B" w:rsidRDefault="0036783B" w:rsidP="00E93C1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Start with a 20 mg/2 mL vial and w</w:t>
            </w:r>
            <w:r w:rsidR="005B0F4D">
              <w:rPr>
                <w:sz w:val="24"/>
                <w:szCs w:val="24"/>
              </w:rPr>
              <w:t>ithdraw 0.3 mL (</w:t>
            </w:r>
            <w:r w:rsidR="00F1687B">
              <w:rPr>
                <w:sz w:val="24"/>
                <w:szCs w:val="24"/>
              </w:rPr>
              <w:t xml:space="preserve">gentamicin </w:t>
            </w:r>
            <w:r w:rsidR="005B0F4D">
              <w:rPr>
                <w:sz w:val="24"/>
                <w:szCs w:val="24"/>
              </w:rPr>
              <w:t>3</w:t>
            </w:r>
            <w:r>
              <w:rPr>
                <w:sz w:val="24"/>
                <w:szCs w:val="24"/>
              </w:rPr>
              <w:t xml:space="preserve"> mg)</w:t>
            </w:r>
          </w:p>
          <w:p w14:paraId="0F0E0761" w14:textId="77777777" w:rsidR="0036783B" w:rsidRDefault="005B0F4D" w:rsidP="00E93C1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QS with NS to 3mL</w:t>
            </w:r>
            <w:r w:rsidR="002E2678">
              <w:rPr>
                <w:sz w:val="24"/>
                <w:szCs w:val="24"/>
              </w:rPr>
              <w:t xml:space="preserve"> for a final concentration of 1</w:t>
            </w:r>
            <w:r>
              <w:rPr>
                <w:sz w:val="24"/>
                <w:szCs w:val="24"/>
              </w:rPr>
              <w:t xml:space="preserve"> </w:t>
            </w:r>
            <w:r w:rsidR="002E2678">
              <w:rPr>
                <w:sz w:val="24"/>
                <w:szCs w:val="24"/>
              </w:rPr>
              <w:t>mg/mL</w:t>
            </w:r>
          </w:p>
          <w:p w14:paraId="0F0E0762" w14:textId="77777777" w:rsidR="002E2678" w:rsidRDefault="005B0F4D" w:rsidP="00E93C1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Final volume of 3</w:t>
            </w:r>
            <w:r w:rsidR="00560255">
              <w:rPr>
                <w:sz w:val="24"/>
                <w:szCs w:val="24"/>
              </w:rPr>
              <w:t xml:space="preserve"> </w:t>
            </w:r>
            <w:r w:rsidR="002E2678">
              <w:rPr>
                <w:sz w:val="24"/>
                <w:szCs w:val="24"/>
              </w:rPr>
              <w:t>mL</w:t>
            </w:r>
          </w:p>
          <w:p w14:paraId="0F0E0763" w14:textId="77777777" w:rsidR="0036783B" w:rsidRPr="007675E9" w:rsidRDefault="0036783B" w:rsidP="00F85693">
            <w:pPr>
              <w:pStyle w:val="ListParagraph"/>
              <w:cnfStyle w:val="000000000000" w:firstRow="0" w:lastRow="0" w:firstColumn="0" w:lastColumn="0" w:oddVBand="0" w:evenVBand="0" w:oddHBand="0" w:evenHBand="0" w:firstRowFirstColumn="0" w:firstRowLastColumn="0" w:lastRowFirstColumn="0" w:lastRowLastColumn="0"/>
              <w:rPr>
                <w:sz w:val="12"/>
                <w:szCs w:val="24"/>
              </w:rPr>
            </w:pPr>
          </w:p>
        </w:tc>
      </w:tr>
      <w:tr w:rsidR="0036783B" w14:paraId="0F0E076B" w14:textId="77777777" w:rsidTr="001948F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8" w:type="dxa"/>
          </w:tcPr>
          <w:p w14:paraId="0F0E0765" w14:textId="77777777" w:rsidR="0036783B" w:rsidRDefault="0036783B" w:rsidP="003C0EC8">
            <w:pPr>
              <w:pStyle w:val="ListParagraph"/>
              <w:ind w:left="0"/>
              <w:rPr>
                <w:b w:val="0"/>
                <w:sz w:val="24"/>
                <w:szCs w:val="24"/>
              </w:rPr>
            </w:pPr>
            <w:r>
              <w:rPr>
                <w:b w:val="0"/>
                <w:sz w:val="24"/>
                <w:szCs w:val="24"/>
              </w:rPr>
              <w:t xml:space="preserve">Ampicillin 10 mg/mL </w:t>
            </w:r>
          </w:p>
        </w:tc>
        <w:tc>
          <w:tcPr>
            <w:tcW w:w="6888" w:type="dxa"/>
          </w:tcPr>
          <w:p w14:paraId="0F0E0766" w14:textId="77777777" w:rsidR="0036783B" w:rsidRDefault="0036783B" w:rsidP="00DD55C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Dilute 1000 mg of ampicillin in 10 mL of NS (100 mg/mL)</w:t>
            </w:r>
          </w:p>
          <w:p w14:paraId="0F0E0767" w14:textId="77777777" w:rsidR="0036783B" w:rsidRDefault="00F1687B" w:rsidP="00DD55C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Withdraw 0.3</w:t>
            </w:r>
            <w:r w:rsidR="0036783B">
              <w:rPr>
                <w:sz w:val="24"/>
                <w:szCs w:val="24"/>
              </w:rPr>
              <w:t xml:space="preserve"> mL of 100 mg/mL so</w:t>
            </w:r>
            <w:r>
              <w:rPr>
                <w:sz w:val="24"/>
                <w:szCs w:val="24"/>
              </w:rPr>
              <w:t>lution (ampicillin 3</w:t>
            </w:r>
            <w:r w:rsidR="0036783B">
              <w:rPr>
                <w:sz w:val="24"/>
                <w:szCs w:val="24"/>
              </w:rPr>
              <w:t>0 mg)</w:t>
            </w:r>
          </w:p>
          <w:p w14:paraId="0F0E0768" w14:textId="77777777" w:rsidR="0036783B" w:rsidRDefault="00F1687B" w:rsidP="00DD55C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QS with NS to 3 mL</w:t>
            </w:r>
            <w:r w:rsidR="00560255">
              <w:rPr>
                <w:sz w:val="24"/>
                <w:szCs w:val="24"/>
              </w:rPr>
              <w:t xml:space="preserve"> for a final concentration of 10</w:t>
            </w:r>
            <w:r>
              <w:rPr>
                <w:sz w:val="24"/>
                <w:szCs w:val="24"/>
              </w:rPr>
              <w:t xml:space="preserve"> </w:t>
            </w:r>
            <w:r w:rsidR="00560255">
              <w:rPr>
                <w:sz w:val="24"/>
                <w:szCs w:val="24"/>
              </w:rPr>
              <w:t>mg/mL</w:t>
            </w:r>
          </w:p>
          <w:p w14:paraId="0F0E0769" w14:textId="77777777" w:rsidR="00560255" w:rsidRDefault="00F1687B" w:rsidP="00DD55C0">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Final volume of 3</w:t>
            </w:r>
            <w:r w:rsidR="00560255">
              <w:rPr>
                <w:sz w:val="24"/>
                <w:szCs w:val="24"/>
              </w:rPr>
              <w:t xml:space="preserve"> mL</w:t>
            </w:r>
          </w:p>
          <w:p w14:paraId="0F0E076A" w14:textId="77777777" w:rsidR="0036783B" w:rsidRPr="007675E9" w:rsidRDefault="0036783B" w:rsidP="002E7878">
            <w:pPr>
              <w:ind w:left="360"/>
              <w:cnfStyle w:val="000000100000" w:firstRow="0" w:lastRow="0" w:firstColumn="0" w:lastColumn="0" w:oddVBand="0" w:evenVBand="0" w:oddHBand="1" w:evenHBand="0" w:firstRowFirstColumn="0" w:firstRowLastColumn="0" w:lastRowFirstColumn="0" w:lastRowLastColumn="0"/>
              <w:rPr>
                <w:sz w:val="12"/>
                <w:szCs w:val="24"/>
              </w:rPr>
            </w:pPr>
          </w:p>
        </w:tc>
      </w:tr>
      <w:tr w:rsidR="00E14689" w14:paraId="0F0E076D" w14:textId="77777777" w:rsidTr="00FD3516">
        <w:trPr>
          <w:trHeight w:val="285"/>
        </w:trPr>
        <w:tc>
          <w:tcPr>
            <w:cnfStyle w:val="001000000000" w:firstRow="0" w:lastRow="0" w:firstColumn="1" w:lastColumn="0" w:oddVBand="0" w:evenVBand="0" w:oddHBand="0" w:evenHBand="0" w:firstRowFirstColumn="0" w:firstRowLastColumn="0" w:lastRowFirstColumn="0" w:lastRowLastColumn="0"/>
            <w:tcW w:w="9696" w:type="dxa"/>
            <w:gridSpan w:val="2"/>
            <w:shd w:val="clear" w:color="auto" w:fill="000000" w:themeFill="text1"/>
          </w:tcPr>
          <w:p w14:paraId="0F0E076C" w14:textId="77777777" w:rsidR="00E14689" w:rsidRPr="00E14689" w:rsidRDefault="00771AA9" w:rsidP="00E14689">
            <w:pPr>
              <w:jc w:val="center"/>
              <w:rPr>
                <w:color w:val="FFFFFF" w:themeColor="background1"/>
                <w:sz w:val="24"/>
                <w:szCs w:val="24"/>
              </w:rPr>
            </w:pPr>
            <w:r>
              <w:rPr>
                <w:color w:val="FFFFFF" w:themeColor="background1"/>
                <w:sz w:val="24"/>
                <w:szCs w:val="24"/>
              </w:rPr>
              <w:t>Restricted Antimicrobial</w:t>
            </w:r>
            <w:r w:rsidR="00E14689">
              <w:rPr>
                <w:color w:val="FFFFFF" w:themeColor="background1"/>
                <w:sz w:val="24"/>
                <w:szCs w:val="24"/>
              </w:rPr>
              <w:t>*</w:t>
            </w:r>
            <w:r w:rsidR="00387385">
              <w:rPr>
                <w:color w:val="FFFFFF" w:themeColor="background1"/>
                <w:sz w:val="24"/>
                <w:szCs w:val="24"/>
              </w:rPr>
              <w:t>*</w:t>
            </w:r>
          </w:p>
        </w:tc>
      </w:tr>
      <w:tr w:rsidR="0036783B" w14:paraId="0F0E0774" w14:textId="77777777" w:rsidTr="001948F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08" w:type="dxa"/>
          </w:tcPr>
          <w:p w14:paraId="0F0E076E" w14:textId="77777777" w:rsidR="0036783B" w:rsidRDefault="003C0EC8" w:rsidP="003C0EC8">
            <w:pPr>
              <w:pStyle w:val="ListParagraph"/>
              <w:ind w:left="0"/>
              <w:rPr>
                <w:b w:val="0"/>
                <w:sz w:val="24"/>
                <w:szCs w:val="24"/>
              </w:rPr>
            </w:pPr>
            <w:proofErr w:type="spellStart"/>
            <w:r>
              <w:rPr>
                <w:b w:val="0"/>
                <w:sz w:val="24"/>
                <w:szCs w:val="24"/>
              </w:rPr>
              <w:t>Daptomycin</w:t>
            </w:r>
            <w:proofErr w:type="spellEnd"/>
            <w:r>
              <w:rPr>
                <w:b w:val="0"/>
                <w:sz w:val="24"/>
                <w:szCs w:val="24"/>
              </w:rPr>
              <w:t xml:space="preserve"> 5 mg/mL</w:t>
            </w:r>
          </w:p>
        </w:tc>
        <w:tc>
          <w:tcPr>
            <w:tcW w:w="6888" w:type="dxa"/>
          </w:tcPr>
          <w:p w14:paraId="0F0E076F" w14:textId="410E38C5" w:rsidR="0036783B" w:rsidRDefault="0036783B" w:rsidP="00FA3D0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Dilute 500 mg of </w:t>
            </w:r>
            <w:proofErr w:type="spellStart"/>
            <w:r>
              <w:rPr>
                <w:sz w:val="24"/>
                <w:szCs w:val="24"/>
              </w:rPr>
              <w:t>daptomycin</w:t>
            </w:r>
            <w:proofErr w:type="spellEnd"/>
            <w:r>
              <w:rPr>
                <w:sz w:val="24"/>
                <w:szCs w:val="24"/>
              </w:rPr>
              <w:t xml:space="preserve"> in </w:t>
            </w:r>
            <w:r w:rsidR="001A73AE">
              <w:rPr>
                <w:sz w:val="24"/>
                <w:szCs w:val="24"/>
              </w:rPr>
              <w:t xml:space="preserve">20 </w:t>
            </w:r>
            <w:r>
              <w:rPr>
                <w:sz w:val="24"/>
                <w:szCs w:val="24"/>
              </w:rPr>
              <w:t>mL of lactated Ringer’s (LR) solution (</w:t>
            </w:r>
            <w:r w:rsidR="001A73AE">
              <w:rPr>
                <w:sz w:val="24"/>
                <w:szCs w:val="24"/>
              </w:rPr>
              <w:t>25</w:t>
            </w:r>
            <w:r>
              <w:rPr>
                <w:sz w:val="24"/>
                <w:szCs w:val="24"/>
              </w:rPr>
              <w:t xml:space="preserve"> mg/mL)</w:t>
            </w:r>
            <w:r w:rsidR="00D15EAE">
              <w:rPr>
                <w:sz w:val="24"/>
                <w:szCs w:val="24"/>
              </w:rPr>
              <w:t xml:space="preserve"> (</w:t>
            </w:r>
            <w:r w:rsidR="00D15EAE" w:rsidRPr="00D15EAE">
              <w:rPr>
                <w:rFonts w:ascii="Arial" w:hAnsi="Arial" w:cs="Arial"/>
                <w:i/>
                <w:iCs/>
                <w:color w:val="0F243E"/>
                <w:sz w:val="20"/>
                <w:szCs w:val="20"/>
                <w:lang w:val="en"/>
              </w:rPr>
              <w:t xml:space="preserve">Reconstitution of </w:t>
            </w:r>
            <w:proofErr w:type="spellStart"/>
            <w:r w:rsidR="00D15EAE" w:rsidRPr="00D15EAE">
              <w:rPr>
                <w:rFonts w:ascii="Arial" w:hAnsi="Arial" w:cs="Arial"/>
                <w:i/>
                <w:iCs/>
                <w:color w:val="0F243E"/>
                <w:sz w:val="20"/>
                <w:szCs w:val="20"/>
                <w:lang w:val="en"/>
              </w:rPr>
              <w:t>daptomycin</w:t>
            </w:r>
            <w:proofErr w:type="spellEnd"/>
            <w:r w:rsidR="00D15EAE" w:rsidRPr="00D15EAE">
              <w:rPr>
                <w:rFonts w:ascii="Arial" w:hAnsi="Arial" w:cs="Arial"/>
                <w:i/>
                <w:iCs/>
                <w:color w:val="0F243E"/>
                <w:sz w:val="20"/>
                <w:szCs w:val="20"/>
                <w:lang w:val="en"/>
              </w:rPr>
              <w:t xml:space="preserve"> with Lactated Ringer’s solution (LR) or supplementation of the lock solution with calcium is required for activity</w:t>
            </w:r>
            <w:r w:rsidR="00D15EAE">
              <w:rPr>
                <w:rFonts w:ascii="Arial" w:hAnsi="Arial" w:cs="Arial"/>
                <w:i/>
                <w:iCs/>
                <w:color w:val="0F243E"/>
                <w:sz w:val="20"/>
                <w:szCs w:val="20"/>
                <w:lang w:val="en"/>
              </w:rPr>
              <w:t>)</w:t>
            </w:r>
          </w:p>
          <w:p w14:paraId="0F0E0770" w14:textId="77777777" w:rsidR="000C3AAE" w:rsidRDefault="001A73AE" w:rsidP="000961C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Remove 0.6</w:t>
            </w:r>
            <w:r w:rsidR="00E14689">
              <w:rPr>
                <w:sz w:val="24"/>
                <w:szCs w:val="24"/>
              </w:rPr>
              <w:t xml:space="preserve"> mL of </w:t>
            </w:r>
            <w:proofErr w:type="spellStart"/>
            <w:r w:rsidR="00E14689">
              <w:rPr>
                <w:sz w:val="24"/>
                <w:szCs w:val="24"/>
              </w:rPr>
              <w:t>daptomycin</w:t>
            </w:r>
            <w:proofErr w:type="spellEnd"/>
            <w:r w:rsidR="00E14689">
              <w:rPr>
                <w:sz w:val="24"/>
                <w:szCs w:val="24"/>
              </w:rPr>
              <w:t xml:space="preserve"> solution (</w:t>
            </w:r>
            <w:r>
              <w:rPr>
                <w:sz w:val="24"/>
                <w:szCs w:val="24"/>
              </w:rPr>
              <w:t>15</w:t>
            </w:r>
            <w:r w:rsidR="0036783B">
              <w:rPr>
                <w:sz w:val="24"/>
                <w:szCs w:val="24"/>
              </w:rPr>
              <w:t xml:space="preserve"> mg) </w:t>
            </w:r>
          </w:p>
          <w:p w14:paraId="0F0E0771" w14:textId="77777777" w:rsidR="0036783B" w:rsidRDefault="001A73AE" w:rsidP="00DE6721">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QS </w:t>
            </w:r>
            <w:r w:rsidRPr="001A73AE">
              <w:rPr>
                <w:b/>
                <w:sz w:val="24"/>
                <w:szCs w:val="24"/>
              </w:rPr>
              <w:t xml:space="preserve">with </w:t>
            </w:r>
            <w:r w:rsidR="00DE6721">
              <w:rPr>
                <w:b/>
                <w:sz w:val="24"/>
                <w:szCs w:val="24"/>
              </w:rPr>
              <w:t>Lactated Ringer’s</w:t>
            </w:r>
            <w:r w:rsidR="00E14689">
              <w:rPr>
                <w:sz w:val="24"/>
                <w:szCs w:val="24"/>
              </w:rPr>
              <w:t xml:space="preserve"> </w:t>
            </w:r>
            <w:r>
              <w:rPr>
                <w:sz w:val="24"/>
                <w:szCs w:val="24"/>
              </w:rPr>
              <w:t xml:space="preserve">to 3 mL for a final </w:t>
            </w:r>
            <w:r w:rsidR="00E14689">
              <w:rPr>
                <w:sz w:val="24"/>
                <w:szCs w:val="24"/>
              </w:rPr>
              <w:t>concentration of 5</w:t>
            </w:r>
            <w:r w:rsidR="0036783B">
              <w:rPr>
                <w:sz w:val="24"/>
                <w:szCs w:val="24"/>
              </w:rPr>
              <w:t xml:space="preserve"> mg/mL</w:t>
            </w:r>
          </w:p>
          <w:p w14:paraId="0F0E0773" w14:textId="395BDDE3" w:rsidR="00DE6721" w:rsidRPr="00D15EAE" w:rsidRDefault="00D15EAE" w:rsidP="00D15EAE">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Final volume of 3 m</w:t>
            </w:r>
            <w:r w:rsidR="00057499">
              <w:rPr>
                <w:sz w:val="24"/>
                <w:szCs w:val="24"/>
              </w:rPr>
              <w:t>L</w:t>
            </w:r>
          </w:p>
        </w:tc>
      </w:tr>
      <w:tr w:rsidR="00D437E9" w14:paraId="0F0E0777" w14:textId="77777777" w:rsidTr="00DE6721">
        <w:trPr>
          <w:trHeight w:val="277"/>
        </w:trPr>
        <w:tc>
          <w:tcPr>
            <w:cnfStyle w:val="001000000000" w:firstRow="0" w:lastRow="0" w:firstColumn="1" w:lastColumn="0" w:oddVBand="0" w:evenVBand="0" w:oddHBand="0" w:evenHBand="0" w:firstRowFirstColumn="0" w:firstRowLastColumn="0" w:lastRowFirstColumn="0" w:lastRowLastColumn="0"/>
            <w:tcW w:w="9696" w:type="dxa"/>
            <w:gridSpan w:val="2"/>
          </w:tcPr>
          <w:p w14:paraId="0F0E0775" w14:textId="77777777" w:rsidR="00D437E9" w:rsidRPr="00D437E9" w:rsidRDefault="00D437E9" w:rsidP="00064A08">
            <w:pPr>
              <w:rPr>
                <w:b w:val="0"/>
                <w:sz w:val="24"/>
                <w:szCs w:val="24"/>
              </w:rPr>
            </w:pPr>
            <w:r w:rsidRPr="00C47728">
              <w:rPr>
                <w:b w:val="0"/>
                <w:sz w:val="24"/>
                <w:szCs w:val="24"/>
              </w:rPr>
              <w:t>**Infectious diseases consult required prior</w:t>
            </w:r>
            <w:r>
              <w:rPr>
                <w:b w:val="0"/>
                <w:sz w:val="24"/>
                <w:szCs w:val="24"/>
              </w:rPr>
              <w:t xml:space="preserve"> to use.</w:t>
            </w:r>
          </w:p>
          <w:p w14:paraId="0F0E0776" w14:textId="77777777" w:rsidR="00D437E9" w:rsidRPr="00064A08" w:rsidRDefault="00D437E9" w:rsidP="00064A08">
            <w:pPr>
              <w:rPr>
                <w:sz w:val="12"/>
                <w:szCs w:val="24"/>
              </w:rPr>
            </w:pPr>
          </w:p>
        </w:tc>
      </w:tr>
    </w:tbl>
    <w:p w14:paraId="0F0E0778" w14:textId="77777777" w:rsidR="00DE34E9" w:rsidRPr="00387385" w:rsidRDefault="00DE34E9">
      <w:pPr>
        <w:pStyle w:val="ListParagraph"/>
        <w:numPr>
          <w:ilvl w:val="0"/>
          <w:numId w:val="1"/>
        </w:numPr>
        <w:rPr>
          <w:b/>
          <w:sz w:val="24"/>
          <w:szCs w:val="24"/>
        </w:rPr>
      </w:pPr>
      <w:r w:rsidRPr="00387385">
        <w:rPr>
          <w:b/>
          <w:sz w:val="24"/>
          <w:szCs w:val="24"/>
        </w:rPr>
        <w:lastRenderedPageBreak/>
        <w:t>Typical Dwell Times</w:t>
      </w:r>
    </w:p>
    <w:p w14:paraId="0F0E0779" w14:textId="77777777" w:rsidR="00DC2AA6" w:rsidRDefault="00F7211E" w:rsidP="00935BB2">
      <w:pPr>
        <w:autoSpaceDE w:val="0"/>
        <w:autoSpaceDN w:val="0"/>
        <w:adjustRightInd w:val="0"/>
        <w:spacing w:after="0" w:line="240" w:lineRule="auto"/>
        <w:ind w:left="360"/>
        <w:rPr>
          <w:rFonts w:cs="Univers-Light"/>
          <w:sz w:val="24"/>
          <w:szCs w:val="14"/>
        </w:rPr>
      </w:pPr>
      <w:r>
        <w:rPr>
          <w:rFonts w:cs="Univers-Light"/>
          <w:sz w:val="24"/>
          <w:szCs w:val="14"/>
        </w:rPr>
        <w:t>Per IDSA guidelines, d</w:t>
      </w:r>
      <w:r w:rsidR="00DE34E9" w:rsidRPr="00DE34E9">
        <w:rPr>
          <w:rFonts w:cs="Univers-Light"/>
          <w:sz w:val="24"/>
          <w:szCs w:val="14"/>
        </w:rPr>
        <w:t>well times for antibiotic lock solutions should generally not exceed 48 h</w:t>
      </w:r>
      <w:r w:rsidR="00DE34E9">
        <w:rPr>
          <w:rFonts w:cs="Univers-Light"/>
          <w:sz w:val="24"/>
          <w:szCs w:val="14"/>
        </w:rPr>
        <w:t>ours</w:t>
      </w:r>
      <w:r w:rsidR="00DE34E9" w:rsidRPr="00DE34E9">
        <w:rPr>
          <w:rFonts w:cs="Univers-Light"/>
          <w:sz w:val="24"/>
          <w:szCs w:val="14"/>
        </w:rPr>
        <w:t xml:space="preserve"> before reinstallation of lock solution; preferably, reinstallation should take place every 24 h for ambulatory patients with femoral catheters. However, for patients who are undergoing hemodialysis, the lock solution can be renewed after every dialysis session.</w:t>
      </w:r>
      <w:r>
        <w:rPr>
          <w:rFonts w:cs="Univers-Light"/>
          <w:sz w:val="24"/>
          <w:szCs w:val="14"/>
        </w:rPr>
        <w:t xml:space="preserve"> </w:t>
      </w:r>
    </w:p>
    <w:p w14:paraId="0F0E077A" w14:textId="77777777" w:rsidR="005B7014" w:rsidRDefault="001D11DA" w:rsidP="00D50269">
      <w:pPr>
        <w:pStyle w:val="ListParagraph"/>
        <w:numPr>
          <w:ilvl w:val="1"/>
          <w:numId w:val="1"/>
        </w:numPr>
        <w:autoSpaceDE w:val="0"/>
        <w:autoSpaceDN w:val="0"/>
        <w:adjustRightInd w:val="0"/>
        <w:spacing w:after="0" w:line="240" w:lineRule="auto"/>
        <w:rPr>
          <w:rFonts w:cs="Univers-Light"/>
          <w:b/>
          <w:sz w:val="24"/>
          <w:szCs w:val="14"/>
        </w:rPr>
      </w:pPr>
      <w:r>
        <w:rPr>
          <w:rFonts w:cs="Univers-Light"/>
          <w:b/>
          <w:sz w:val="24"/>
          <w:szCs w:val="14"/>
        </w:rPr>
        <w:t>Consistent with nursing catheter flush guidelines, he</w:t>
      </w:r>
      <w:r w:rsidR="003F3286" w:rsidRPr="003F3286">
        <w:rPr>
          <w:rFonts w:cs="Univers-Light"/>
          <w:b/>
          <w:sz w:val="24"/>
          <w:szCs w:val="14"/>
        </w:rPr>
        <w:t xml:space="preserve">parin solution should be </w:t>
      </w:r>
      <w:r w:rsidR="003F3286">
        <w:rPr>
          <w:rFonts w:cs="Univers-Light"/>
          <w:b/>
          <w:sz w:val="24"/>
          <w:szCs w:val="14"/>
        </w:rPr>
        <w:t xml:space="preserve">withdrawn and </w:t>
      </w:r>
      <w:r w:rsidR="003F3286" w:rsidRPr="003F3286">
        <w:rPr>
          <w:rFonts w:cs="Univers-Light"/>
          <w:b/>
          <w:sz w:val="24"/>
          <w:szCs w:val="14"/>
        </w:rPr>
        <w:t>discarded</w:t>
      </w:r>
      <w:r w:rsidR="003F3286">
        <w:rPr>
          <w:rFonts w:cs="Univers-Light"/>
          <w:b/>
          <w:sz w:val="24"/>
          <w:szCs w:val="14"/>
        </w:rPr>
        <w:t xml:space="preserve"> at completion of dwell time and</w:t>
      </w:r>
      <w:r w:rsidR="003F3286" w:rsidRPr="003F3286">
        <w:rPr>
          <w:rFonts w:cs="Univers-Light"/>
          <w:b/>
          <w:sz w:val="24"/>
          <w:szCs w:val="14"/>
        </w:rPr>
        <w:t xml:space="preserve"> prior to initiating infusion or drawing blood.</w:t>
      </w:r>
    </w:p>
    <w:p w14:paraId="0F0E077B" w14:textId="77777777" w:rsidR="003817B6" w:rsidRPr="00D50269" w:rsidRDefault="003817B6" w:rsidP="003817B6">
      <w:pPr>
        <w:pStyle w:val="ListParagraph"/>
        <w:autoSpaceDE w:val="0"/>
        <w:autoSpaceDN w:val="0"/>
        <w:adjustRightInd w:val="0"/>
        <w:spacing w:after="0" w:line="240" w:lineRule="auto"/>
        <w:ind w:left="1440"/>
        <w:rPr>
          <w:rFonts w:cs="Univers-Light"/>
          <w:b/>
          <w:sz w:val="24"/>
          <w:szCs w:val="14"/>
        </w:rPr>
      </w:pPr>
    </w:p>
    <w:p w14:paraId="0F0E077C" w14:textId="77777777" w:rsidR="0054013F" w:rsidRDefault="00F7211E" w:rsidP="005B7014">
      <w:pPr>
        <w:autoSpaceDE w:val="0"/>
        <w:autoSpaceDN w:val="0"/>
        <w:adjustRightInd w:val="0"/>
        <w:spacing w:after="0" w:line="240" w:lineRule="auto"/>
        <w:ind w:left="360"/>
        <w:rPr>
          <w:rFonts w:cs="Univers-Light"/>
          <w:sz w:val="24"/>
          <w:szCs w:val="14"/>
        </w:rPr>
      </w:pPr>
      <w:r>
        <w:rPr>
          <w:rFonts w:cs="Univers-Light"/>
          <w:sz w:val="24"/>
          <w:szCs w:val="14"/>
        </w:rPr>
        <w:t>The table below shows commonly studied dwell times for in vivo studies.</w:t>
      </w:r>
    </w:p>
    <w:tbl>
      <w:tblPr>
        <w:tblStyle w:val="TableGrid"/>
        <w:tblW w:w="0" w:type="auto"/>
        <w:tblLook w:val="04A0" w:firstRow="1" w:lastRow="0" w:firstColumn="1" w:lastColumn="0" w:noHBand="0" w:noVBand="1"/>
      </w:tblPr>
      <w:tblGrid>
        <w:gridCol w:w="4788"/>
        <w:gridCol w:w="4788"/>
      </w:tblGrid>
      <w:tr w:rsidR="00DE34E9" w14:paraId="0F0E077F" w14:textId="77777777" w:rsidTr="00203E25">
        <w:tc>
          <w:tcPr>
            <w:tcW w:w="4788" w:type="dxa"/>
            <w:shd w:val="clear" w:color="auto" w:fill="000000" w:themeFill="text1"/>
          </w:tcPr>
          <w:p w14:paraId="0F0E077D" w14:textId="77777777" w:rsidR="00DE34E9" w:rsidRDefault="00DE34E9" w:rsidP="00DE34E9">
            <w:pPr>
              <w:pStyle w:val="ListParagraph"/>
              <w:ind w:left="0"/>
              <w:jc w:val="center"/>
              <w:rPr>
                <w:b/>
                <w:sz w:val="24"/>
                <w:szCs w:val="24"/>
              </w:rPr>
            </w:pPr>
            <w:r>
              <w:rPr>
                <w:b/>
                <w:sz w:val="24"/>
                <w:szCs w:val="24"/>
              </w:rPr>
              <w:t>Antibiotic</w:t>
            </w:r>
          </w:p>
        </w:tc>
        <w:tc>
          <w:tcPr>
            <w:tcW w:w="4788" w:type="dxa"/>
            <w:shd w:val="clear" w:color="auto" w:fill="000000" w:themeFill="text1"/>
          </w:tcPr>
          <w:p w14:paraId="0F0E077E" w14:textId="77777777" w:rsidR="00DE34E9" w:rsidRDefault="00EE1BE0" w:rsidP="00DE34E9">
            <w:pPr>
              <w:pStyle w:val="ListParagraph"/>
              <w:ind w:left="0"/>
              <w:jc w:val="center"/>
              <w:rPr>
                <w:b/>
                <w:sz w:val="24"/>
                <w:szCs w:val="24"/>
              </w:rPr>
            </w:pPr>
            <w:r>
              <w:rPr>
                <w:b/>
                <w:sz w:val="24"/>
                <w:szCs w:val="24"/>
              </w:rPr>
              <w:t xml:space="preserve">Studied </w:t>
            </w:r>
            <w:r w:rsidR="00DE34E9">
              <w:rPr>
                <w:b/>
                <w:sz w:val="24"/>
                <w:szCs w:val="24"/>
              </w:rPr>
              <w:t>Dwell Time</w:t>
            </w:r>
            <w:r>
              <w:rPr>
                <w:b/>
                <w:sz w:val="24"/>
                <w:szCs w:val="24"/>
              </w:rPr>
              <w:t>s</w:t>
            </w:r>
          </w:p>
        </w:tc>
      </w:tr>
      <w:tr w:rsidR="00DE34E9" w14:paraId="0F0E0782" w14:textId="77777777" w:rsidTr="00DE34E9">
        <w:tc>
          <w:tcPr>
            <w:tcW w:w="4788" w:type="dxa"/>
          </w:tcPr>
          <w:p w14:paraId="0F0E0780" w14:textId="77777777" w:rsidR="00DE34E9" w:rsidRDefault="00DE34E9" w:rsidP="00DE34E9">
            <w:pPr>
              <w:pStyle w:val="ListParagraph"/>
              <w:ind w:left="0"/>
              <w:rPr>
                <w:b/>
                <w:sz w:val="24"/>
                <w:szCs w:val="24"/>
              </w:rPr>
            </w:pPr>
            <w:r>
              <w:rPr>
                <w:b/>
                <w:sz w:val="24"/>
                <w:szCs w:val="24"/>
              </w:rPr>
              <w:t>Vancomycin</w:t>
            </w:r>
          </w:p>
        </w:tc>
        <w:tc>
          <w:tcPr>
            <w:tcW w:w="4788" w:type="dxa"/>
          </w:tcPr>
          <w:p w14:paraId="0F0E0781" w14:textId="77777777" w:rsidR="00DE34E9" w:rsidRPr="00DE34E9" w:rsidRDefault="00DE34E9" w:rsidP="00DE34E9">
            <w:pPr>
              <w:pStyle w:val="ListParagraph"/>
              <w:ind w:left="0"/>
              <w:jc w:val="center"/>
              <w:rPr>
                <w:sz w:val="24"/>
                <w:szCs w:val="24"/>
              </w:rPr>
            </w:pPr>
            <w:r>
              <w:rPr>
                <w:sz w:val="24"/>
                <w:szCs w:val="24"/>
              </w:rPr>
              <w:t>24 up to 48 hours</w:t>
            </w:r>
          </w:p>
        </w:tc>
      </w:tr>
      <w:tr w:rsidR="00DE34E9" w14:paraId="0F0E0785" w14:textId="77777777" w:rsidTr="00DE34E9">
        <w:tc>
          <w:tcPr>
            <w:tcW w:w="4788" w:type="dxa"/>
          </w:tcPr>
          <w:p w14:paraId="0F0E0783" w14:textId="77777777" w:rsidR="00DE34E9" w:rsidRDefault="00DE34E9" w:rsidP="00DE34E9">
            <w:pPr>
              <w:pStyle w:val="ListParagraph"/>
              <w:ind w:left="0"/>
              <w:rPr>
                <w:b/>
                <w:sz w:val="24"/>
                <w:szCs w:val="24"/>
              </w:rPr>
            </w:pPr>
            <w:r>
              <w:rPr>
                <w:b/>
                <w:sz w:val="24"/>
                <w:szCs w:val="24"/>
              </w:rPr>
              <w:t>Cefazolin</w:t>
            </w:r>
          </w:p>
        </w:tc>
        <w:tc>
          <w:tcPr>
            <w:tcW w:w="4788" w:type="dxa"/>
          </w:tcPr>
          <w:p w14:paraId="0F0E0784" w14:textId="77777777" w:rsidR="00DE34E9" w:rsidRPr="00235137" w:rsidRDefault="00235137" w:rsidP="00DE34E9">
            <w:pPr>
              <w:pStyle w:val="ListParagraph"/>
              <w:ind w:left="0"/>
              <w:jc w:val="center"/>
              <w:rPr>
                <w:sz w:val="24"/>
                <w:szCs w:val="24"/>
              </w:rPr>
            </w:pPr>
            <w:r w:rsidRPr="00235137">
              <w:rPr>
                <w:sz w:val="24"/>
                <w:szCs w:val="24"/>
              </w:rPr>
              <w:t>Up to 72 hours</w:t>
            </w:r>
          </w:p>
        </w:tc>
      </w:tr>
      <w:tr w:rsidR="00DE34E9" w14:paraId="0F0E0788" w14:textId="77777777" w:rsidTr="00DE34E9">
        <w:tc>
          <w:tcPr>
            <w:tcW w:w="4788" w:type="dxa"/>
          </w:tcPr>
          <w:p w14:paraId="0F0E0786" w14:textId="77777777" w:rsidR="00DE34E9" w:rsidRDefault="00DE34E9" w:rsidP="00DE34E9">
            <w:pPr>
              <w:pStyle w:val="ListParagraph"/>
              <w:ind w:left="0"/>
              <w:rPr>
                <w:b/>
                <w:sz w:val="24"/>
                <w:szCs w:val="24"/>
              </w:rPr>
            </w:pPr>
            <w:r>
              <w:rPr>
                <w:b/>
                <w:sz w:val="24"/>
                <w:szCs w:val="24"/>
              </w:rPr>
              <w:t>Ceftazidime</w:t>
            </w:r>
          </w:p>
        </w:tc>
        <w:tc>
          <w:tcPr>
            <w:tcW w:w="4788" w:type="dxa"/>
          </w:tcPr>
          <w:p w14:paraId="0F0E0787" w14:textId="77777777" w:rsidR="00DE34E9" w:rsidRPr="00235137" w:rsidRDefault="00235137" w:rsidP="00DE34E9">
            <w:pPr>
              <w:pStyle w:val="ListParagraph"/>
              <w:ind w:left="0"/>
              <w:jc w:val="center"/>
              <w:rPr>
                <w:sz w:val="24"/>
                <w:szCs w:val="24"/>
              </w:rPr>
            </w:pPr>
            <w:r w:rsidRPr="00235137">
              <w:rPr>
                <w:sz w:val="24"/>
                <w:szCs w:val="24"/>
              </w:rPr>
              <w:t>8 to 12 hours</w:t>
            </w:r>
          </w:p>
        </w:tc>
      </w:tr>
      <w:tr w:rsidR="00DE34E9" w14:paraId="0F0E078B" w14:textId="77777777" w:rsidTr="00DE34E9">
        <w:tc>
          <w:tcPr>
            <w:tcW w:w="4788" w:type="dxa"/>
          </w:tcPr>
          <w:p w14:paraId="0F0E0789" w14:textId="77777777" w:rsidR="00DE34E9" w:rsidRDefault="00DE34E9" w:rsidP="00DE34E9">
            <w:pPr>
              <w:pStyle w:val="ListParagraph"/>
              <w:ind w:left="0"/>
              <w:rPr>
                <w:b/>
                <w:sz w:val="24"/>
                <w:szCs w:val="24"/>
              </w:rPr>
            </w:pPr>
            <w:r>
              <w:rPr>
                <w:b/>
                <w:sz w:val="24"/>
                <w:szCs w:val="24"/>
              </w:rPr>
              <w:t>Gentamicin</w:t>
            </w:r>
          </w:p>
        </w:tc>
        <w:tc>
          <w:tcPr>
            <w:tcW w:w="4788" w:type="dxa"/>
          </w:tcPr>
          <w:p w14:paraId="0F0E078A" w14:textId="77777777" w:rsidR="00DE34E9" w:rsidRPr="00235137" w:rsidRDefault="00235137" w:rsidP="00DE34E9">
            <w:pPr>
              <w:pStyle w:val="ListParagraph"/>
              <w:ind w:left="0"/>
              <w:jc w:val="center"/>
              <w:rPr>
                <w:sz w:val="24"/>
                <w:szCs w:val="24"/>
              </w:rPr>
            </w:pPr>
            <w:r w:rsidRPr="00235137">
              <w:rPr>
                <w:sz w:val="24"/>
                <w:szCs w:val="24"/>
              </w:rPr>
              <w:t>12 to 24 hours</w:t>
            </w:r>
          </w:p>
        </w:tc>
      </w:tr>
      <w:tr w:rsidR="00DE34E9" w14:paraId="0F0E078E" w14:textId="77777777" w:rsidTr="00DE34E9">
        <w:tc>
          <w:tcPr>
            <w:tcW w:w="4788" w:type="dxa"/>
          </w:tcPr>
          <w:p w14:paraId="0F0E078C" w14:textId="77777777" w:rsidR="00DE34E9" w:rsidRDefault="00DE34E9" w:rsidP="00DE34E9">
            <w:pPr>
              <w:pStyle w:val="ListParagraph"/>
              <w:ind w:left="0"/>
              <w:rPr>
                <w:b/>
                <w:sz w:val="24"/>
                <w:szCs w:val="24"/>
              </w:rPr>
            </w:pPr>
            <w:r>
              <w:rPr>
                <w:b/>
                <w:sz w:val="24"/>
                <w:szCs w:val="24"/>
              </w:rPr>
              <w:t>Ampicillin</w:t>
            </w:r>
          </w:p>
        </w:tc>
        <w:tc>
          <w:tcPr>
            <w:tcW w:w="4788" w:type="dxa"/>
          </w:tcPr>
          <w:p w14:paraId="0F0E078D" w14:textId="77777777" w:rsidR="00DE34E9" w:rsidRPr="00235137" w:rsidRDefault="00235137" w:rsidP="00DE34E9">
            <w:pPr>
              <w:pStyle w:val="ListParagraph"/>
              <w:ind w:left="0"/>
              <w:jc w:val="center"/>
              <w:rPr>
                <w:sz w:val="24"/>
                <w:szCs w:val="24"/>
              </w:rPr>
            </w:pPr>
            <w:r>
              <w:rPr>
                <w:sz w:val="24"/>
                <w:szCs w:val="24"/>
              </w:rPr>
              <w:t>Up to 6 hours</w:t>
            </w:r>
          </w:p>
        </w:tc>
      </w:tr>
      <w:tr w:rsidR="00947742" w14:paraId="0F0E0791" w14:textId="77777777" w:rsidTr="00DE34E9">
        <w:tc>
          <w:tcPr>
            <w:tcW w:w="4788" w:type="dxa"/>
          </w:tcPr>
          <w:p w14:paraId="0F0E078F" w14:textId="77777777" w:rsidR="00947742" w:rsidRDefault="00947742" w:rsidP="00DE34E9">
            <w:pPr>
              <w:pStyle w:val="ListParagraph"/>
              <w:ind w:left="0"/>
              <w:rPr>
                <w:b/>
                <w:sz w:val="24"/>
                <w:szCs w:val="24"/>
              </w:rPr>
            </w:pPr>
            <w:proofErr w:type="spellStart"/>
            <w:r>
              <w:rPr>
                <w:b/>
                <w:sz w:val="24"/>
                <w:szCs w:val="24"/>
              </w:rPr>
              <w:t>Daptomycin</w:t>
            </w:r>
            <w:proofErr w:type="spellEnd"/>
          </w:p>
        </w:tc>
        <w:tc>
          <w:tcPr>
            <w:tcW w:w="4788" w:type="dxa"/>
          </w:tcPr>
          <w:p w14:paraId="0F0E0790" w14:textId="77777777" w:rsidR="00947742" w:rsidRDefault="00947742" w:rsidP="00DE34E9">
            <w:pPr>
              <w:pStyle w:val="ListParagraph"/>
              <w:ind w:left="0"/>
              <w:jc w:val="center"/>
              <w:rPr>
                <w:sz w:val="24"/>
                <w:szCs w:val="24"/>
              </w:rPr>
            </w:pPr>
            <w:r>
              <w:rPr>
                <w:sz w:val="24"/>
                <w:szCs w:val="24"/>
              </w:rPr>
              <w:t>12 to 24 hours</w:t>
            </w:r>
          </w:p>
        </w:tc>
      </w:tr>
    </w:tbl>
    <w:p w14:paraId="0F0E0792" w14:textId="77777777" w:rsidR="00DE34E9" w:rsidRDefault="00DE34E9" w:rsidP="00DE34E9">
      <w:pPr>
        <w:pStyle w:val="ListParagraph"/>
        <w:ind w:left="1080"/>
        <w:rPr>
          <w:b/>
          <w:sz w:val="24"/>
          <w:szCs w:val="24"/>
        </w:rPr>
      </w:pPr>
    </w:p>
    <w:p w14:paraId="0F0E0793" w14:textId="145C3026" w:rsidR="00C0079F" w:rsidRDefault="00C0079F" w:rsidP="00C0079F">
      <w:pPr>
        <w:pStyle w:val="ListParagraph"/>
        <w:numPr>
          <w:ilvl w:val="0"/>
          <w:numId w:val="1"/>
        </w:numPr>
        <w:rPr>
          <w:b/>
          <w:sz w:val="24"/>
          <w:szCs w:val="24"/>
        </w:rPr>
      </w:pPr>
      <w:r>
        <w:rPr>
          <w:b/>
          <w:sz w:val="24"/>
          <w:szCs w:val="24"/>
        </w:rPr>
        <w:t>Storage and Stability</w:t>
      </w:r>
      <w:r w:rsidR="00057499">
        <w:rPr>
          <w:b/>
          <w:sz w:val="24"/>
          <w:szCs w:val="24"/>
        </w:rPr>
        <w:t>*</w:t>
      </w:r>
    </w:p>
    <w:tbl>
      <w:tblPr>
        <w:tblStyle w:val="LightList"/>
        <w:tblW w:w="0" w:type="auto"/>
        <w:tblLook w:val="04A0" w:firstRow="1" w:lastRow="0" w:firstColumn="1" w:lastColumn="0" w:noHBand="0" w:noVBand="1"/>
      </w:tblPr>
      <w:tblGrid>
        <w:gridCol w:w="4788"/>
        <w:gridCol w:w="4788"/>
      </w:tblGrid>
      <w:tr w:rsidR="00C517F5" w14:paraId="0F0E0796" w14:textId="77777777" w:rsidTr="00AB2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0E0794" w14:textId="77777777" w:rsidR="00C517F5" w:rsidRPr="00AB234E" w:rsidRDefault="00C517F5" w:rsidP="00C517F5">
            <w:pPr>
              <w:jc w:val="center"/>
              <w:rPr>
                <w:sz w:val="24"/>
                <w:szCs w:val="24"/>
              </w:rPr>
            </w:pPr>
            <w:r w:rsidRPr="00AB234E">
              <w:rPr>
                <w:sz w:val="24"/>
                <w:szCs w:val="24"/>
              </w:rPr>
              <w:t>Lock Solution</w:t>
            </w:r>
          </w:p>
        </w:tc>
        <w:tc>
          <w:tcPr>
            <w:tcW w:w="4788" w:type="dxa"/>
          </w:tcPr>
          <w:p w14:paraId="0F0E0795" w14:textId="77777777" w:rsidR="00C517F5" w:rsidRPr="00AB234E" w:rsidRDefault="00C517F5" w:rsidP="00C517F5">
            <w:pPr>
              <w:jc w:val="center"/>
              <w:cnfStyle w:val="100000000000" w:firstRow="1" w:lastRow="0" w:firstColumn="0" w:lastColumn="0" w:oddVBand="0" w:evenVBand="0" w:oddHBand="0" w:evenHBand="0" w:firstRowFirstColumn="0" w:firstRowLastColumn="0" w:lastRowFirstColumn="0" w:lastRowLastColumn="0"/>
              <w:rPr>
                <w:sz w:val="24"/>
                <w:szCs w:val="24"/>
              </w:rPr>
            </w:pPr>
            <w:r w:rsidRPr="00AB234E">
              <w:rPr>
                <w:sz w:val="24"/>
                <w:szCs w:val="24"/>
              </w:rPr>
              <w:t>Stability</w:t>
            </w:r>
          </w:p>
        </w:tc>
      </w:tr>
      <w:tr w:rsidR="00C517F5" w14:paraId="0F0E0799" w14:textId="77777777" w:rsidTr="00AB2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0E0797" w14:textId="77777777" w:rsidR="00C517F5" w:rsidRDefault="00DC7D21" w:rsidP="00C0079F">
            <w:pPr>
              <w:rPr>
                <w:b w:val="0"/>
                <w:sz w:val="24"/>
                <w:szCs w:val="24"/>
              </w:rPr>
            </w:pPr>
            <w:r>
              <w:rPr>
                <w:b w:val="0"/>
                <w:sz w:val="24"/>
                <w:szCs w:val="24"/>
              </w:rPr>
              <w:t>Vancomyc</w:t>
            </w:r>
            <w:r w:rsidR="008956D5">
              <w:rPr>
                <w:b w:val="0"/>
                <w:sz w:val="24"/>
                <w:szCs w:val="24"/>
              </w:rPr>
              <w:t>in</w:t>
            </w:r>
          </w:p>
        </w:tc>
        <w:tc>
          <w:tcPr>
            <w:tcW w:w="4788" w:type="dxa"/>
          </w:tcPr>
          <w:p w14:paraId="0F0E0798" w14:textId="77777777" w:rsidR="00C517F5" w:rsidRPr="00AE2A21" w:rsidRDefault="00AE2A21" w:rsidP="00AE2A2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72 hours at room temperature</w:t>
            </w:r>
          </w:p>
        </w:tc>
      </w:tr>
      <w:tr w:rsidR="00C517F5" w14:paraId="0F0E079C" w14:textId="77777777" w:rsidTr="00AB234E">
        <w:tc>
          <w:tcPr>
            <w:cnfStyle w:val="001000000000" w:firstRow="0" w:lastRow="0" w:firstColumn="1" w:lastColumn="0" w:oddVBand="0" w:evenVBand="0" w:oddHBand="0" w:evenHBand="0" w:firstRowFirstColumn="0" w:firstRowLastColumn="0" w:lastRowFirstColumn="0" w:lastRowLastColumn="0"/>
            <w:tcW w:w="4788" w:type="dxa"/>
          </w:tcPr>
          <w:p w14:paraId="0F0E079A" w14:textId="77777777" w:rsidR="00C517F5" w:rsidRDefault="008956D5" w:rsidP="00C0079F">
            <w:pPr>
              <w:rPr>
                <w:b w:val="0"/>
                <w:sz w:val="24"/>
                <w:szCs w:val="24"/>
              </w:rPr>
            </w:pPr>
            <w:r>
              <w:rPr>
                <w:b w:val="0"/>
                <w:sz w:val="24"/>
                <w:szCs w:val="24"/>
              </w:rPr>
              <w:t>Cefazolin</w:t>
            </w:r>
          </w:p>
        </w:tc>
        <w:tc>
          <w:tcPr>
            <w:tcW w:w="4788" w:type="dxa"/>
          </w:tcPr>
          <w:p w14:paraId="0F0E079B" w14:textId="77777777" w:rsidR="00C517F5" w:rsidRPr="00AE2A21" w:rsidRDefault="00AE2A21" w:rsidP="00AE2A21">
            <w:pPr>
              <w:jc w:val="center"/>
              <w:cnfStyle w:val="000000000000" w:firstRow="0" w:lastRow="0" w:firstColumn="0" w:lastColumn="0" w:oddVBand="0" w:evenVBand="0" w:oddHBand="0" w:evenHBand="0" w:firstRowFirstColumn="0" w:firstRowLastColumn="0" w:lastRowFirstColumn="0" w:lastRowLastColumn="0"/>
              <w:rPr>
                <w:sz w:val="24"/>
                <w:szCs w:val="24"/>
              </w:rPr>
            </w:pPr>
            <w:r w:rsidRPr="00AE2A21">
              <w:rPr>
                <w:sz w:val="24"/>
                <w:szCs w:val="24"/>
              </w:rPr>
              <w:t>72 hours at room temperature</w:t>
            </w:r>
          </w:p>
        </w:tc>
      </w:tr>
      <w:tr w:rsidR="00C517F5" w14:paraId="0F0E079F" w14:textId="77777777" w:rsidTr="00AB2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0E079D" w14:textId="77777777" w:rsidR="00C517F5" w:rsidRDefault="008956D5" w:rsidP="00C0079F">
            <w:pPr>
              <w:rPr>
                <w:b w:val="0"/>
                <w:sz w:val="24"/>
                <w:szCs w:val="24"/>
              </w:rPr>
            </w:pPr>
            <w:r>
              <w:rPr>
                <w:b w:val="0"/>
                <w:sz w:val="24"/>
                <w:szCs w:val="24"/>
              </w:rPr>
              <w:t>Ceftazidime</w:t>
            </w:r>
          </w:p>
        </w:tc>
        <w:tc>
          <w:tcPr>
            <w:tcW w:w="4788" w:type="dxa"/>
          </w:tcPr>
          <w:p w14:paraId="0F0E079E" w14:textId="77777777" w:rsidR="00C517F5" w:rsidRPr="00AE2A21" w:rsidRDefault="00AE2A21" w:rsidP="00AE2A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AE2A21">
              <w:rPr>
                <w:sz w:val="24"/>
                <w:szCs w:val="24"/>
              </w:rPr>
              <w:t>7 days at room temperature</w:t>
            </w:r>
          </w:p>
        </w:tc>
      </w:tr>
      <w:tr w:rsidR="00C517F5" w14:paraId="0F0E07A2" w14:textId="77777777" w:rsidTr="00AB234E">
        <w:tc>
          <w:tcPr>
            <w:cnfStyle w:val="001000000000" w:firstRow="0" w:lastRow="0" w:firstColumn="1" w:lastColumn="0" w:oddVBand="0" w:evenVBand="0" w:oddHBand="0" w:evenHBand="0" w:firstRowFirstColumn="0" w:firstRowLastColumn="0" w:lastRowFirstColumn="0" w:lastRowLastColumn="0"/>
            <w:tcW w:w="4788" w:type="dxa"/>
          </w:tcPr>
          <w:p w14:paraId="0F0E07A0" w14:textId="77777777" w:rsidR="00C517F5" w:rsidRDefault="008956D5" w:rsidP="00C0079F">
            <w:pPr>
              <w:rPr>
                <w:b w:val="0"/>
                <w:sz w:val="24"/>
                <w:szCs w:val="24"/>
              </w:rPr>
            </w:pPr>
            <w:r>
              <w:rPr>
                <w:b w:val="0"/>
                <w:sz w:val="24"/>
                <w:szCs w:val="24"/>
              </w:rPr>
              <w:t>Gentamicin</w:t>
            </w:r>
          </w:p>
        </w:tc>
        <w:tc>
          <w:tcPr>
            <w:tcW w:w="4788" w:type="dxa"/>
          </w:tcPr>
          <w:p w14:paraId="0F0E07A1" w14:textId="77777777" w:rsidR="00C517F5" w:rsidRPr="00AE2A21" w:rsidRDefault="00AE2A21" w:rsidP="00AE2A21">
            <w:pPr>
              <w:jc w:val="center"/>
              <w:cnfStyle w:val="000000000000" w:firstRow="0" w:lastRow="0" w:firstColumn="0" w:lastColumn="0" w:oddVBand="0" w:evenVBand="0" w:oddHBand="0" w:evenHBand="0" w:firstRowFirstColumn="0" w:firstRowLastColumn="0" w:lastRowFirstColumn="0" w:lastRowLastColumn="0"/>
              <w:rPr>
                <w:sz w:val="24"/>
                <w:szCs w:val="24"/>
              </w:rPr>
            </w:pPr>
            <w:r w:rsidRPr="00AE2A21">
              <w:rPr>
                <w:sz w:val="24"/>
                <w:szCs w:val="24"/>
              </w:rPr>
              <w:t>72 hours at room temperature</w:t>
            </w:r>
          </w:p>
        </w:tc>
      </w:tr>
      <w:tr w:rsidR="00C517F5" w14:paraId="0F0E07A5" w14:textId="77777777" w:rsidTr="00AB2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0E07A3" w14:textId="77777777" w:rsidR="00C517F5" w:rsidRDefault="008956D5" w:rsidP="00C0079F">
            <w:pPr>
              <w:rPr>
                <w:b w:val="0"/>
                <w:sz w:val="24"/>
                <w:szCs w:val="24"/>
              </w:rPr>
            </w:pPr>
            <w:r>
              <w:rPr>
                <w:b w:val="0"/>
                <w:sz w:val="24"/>
                <w:szCs w:val="24"/>
              </w:rPr>
              <w:t>Ampicillin</w:t>
            </w:r>
          </w:p>
        </w:tc>
        <w:tc>
          <w:tcPr>
            <w:tcW w:w="4788" w:type="dxa"/>
          </w:tcPr>
          <w:p w14:paraId="0F0E07A4" w14:textId="77777777" w:rsidR="00C517F5" w:rsidRPr="00AE2A21" w:rsidRDefault="00AE2A21" w:rsidP="00AE2A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AE2A21">
              <w:rPr>
                <w:sz w:val="24"/>
                <w:szCs w:val="24"/>
              </w:rPr>
              <w:t>24 hours at room temperature</w:t>
            </w:r>
          </w:p>
        </w:tc>
      </w:tr>
      <w:tr w:rsidR="007E3060" w14:paraId="0F0E07A8" w14:textId="77777777" w:rsidTr="00AB234E">
        <w:tc>
          <w:tcPr>
            <w:cnfStyle w:val="001000000000" w:firstRow="0" w:lastRow="0" w:firstColumn="1" w:lastColumn="0" w:oddVBand="0" w:evenVBand="0" w:oddHBand="0" w:evenHBand="0" w:firstRowFirstColumn="0" w:firstRowLastColumn="0" w:lastRowFirstColumn="0" w:lastRowLastColumn="0"/>
            <w:tcW w:w="4788" w:type="dxa"/>
          </w:tcPr>
          <w:p w14:paraId="0F0E07A6" w14:textId="77777777" w:rsidR="007E3060" w:rsidRDefault="007E3060" w:rsidP="00C0079F">
            <w:pPr>
              <w:rPr>
                <w:b w:val="0"/>
                <w:sz w:val="24"/>
                <w:szCs w:val="24"/>
              </w:rPr>
            </w:pPr>
            <w:proofErr w:type="spellStart"/>
            <w:r>
              <w:rPr>
                <w:b w:val="0"/>
                <w:sz w:val="24"/>
                <w:szCs w:val="24"/>
              </w:rPr>
              <w:t>Daptomycin</w:t>
            </w:r>
            <w:proofErr w:type="spellEnd"/>
          </w:p>
        </w:tc>
        <w:tc>
          <w:tcPr>
            <w:tcW w:w="4788" w:type="dxa"/>
          </w:tcPr>
          <w:p w14:paraId="0F0E07A7" w14:textId="4731BA55" w:rsidR="007E3060" w:rsidRPr="00057499" w:rsidRDefault="00A8121C" w:rsidP="00057499">
            <w:pPr>
              <w:pStyle w:val="ListParagraph"/>
              <w:numPr>
                <w:ilvl w:val="0"/>
                <w:numId w:val="30"/>
              </w:numPr>
              <w:jc w:val="center"/>
              <w:cnfStyle w:val="000000000000" w:firstRow="0" w:lastRow="0" w:firstColumn="0" w:lastColumn="0" w:oddVBand="0" w:evenVBand="0" w:oddHBand="0" w:evenHBand="0" w:firstRowFirstColumn="0" w:firstRowLastColumn="0" w:lastRowFirstColumn="0" w:lastRowLastColumn="0"/>
              <w:rPr>
                <w:sz w:val="24"/>
                <w:szCs w:val="24"/>
              </w:rPr>
            </w:pPr>
            <w:r w:rsidRPr="00057499">
              <w:rPr>
                <w:sz w:val="24"/>
                <w:szCs w:val="24"/>
              </w:rPr>
              <w:t>h</w:t>
            </w:r>
            <w:r w:rsidR="007E3060" w:rsidRPr="00057499">
              <w:rPr>
                <w:sz w:val="24"/>
                <w:szCs w:val="24"/>
              </w:rPr>
              <w:t>ours at room temperature</w:t>
            </w:r>
          </w:p>
        </w:tc>
      </w:tr>
    </w:tbl>
    <w:p w14:paraId="0F0E07A9" w14:textId="50C85BB1" w:rsidR="00CB7B31" w:rsidRPr="00057499" w:rsidRDefault="00057499" w:rsidP="00057499">
      <w:pPr>
        <w:rPr>
          <w:sz w:val="24"/>
          <w:szCs w:val="24"/>
        </w:rPr>
      </w:pPr>
      <w:r w:rsidRPr="00057499">
        <w:rPr>
          <w:sz w:val="24"/>
          <w:szCs w:val="24"/>
        </w:rPr>
        <w:t>*Storage and beyond use dating should reflect USP 797 standards for maintaining sterility, in addition to stability</w:t>
      </w:r>
    </w:p>
    <w:p w14:paraId="0F0E07AA" w14:textId="77777777" w:rsidR="00427803" w:rsidRDefault="00427803" w:rsidP="00427803">
      <w:pPr>
        <w:pStyle w:val="ListParagraph"/>
        <w:numPr>
          <w:ilvl w:val="0"/>
          <w:numId w:val="1"/>
        </w:numPr>
        <w:rPr>
          <w:b/>
          <w:sz w:val="24"/>
          <w:szCs w:val="24"/>
        </w:rPr>
      </w:pPr>
      <w:r w:rsidRPr="00427803">
        <w:rPr>
          <w:b/>
          <w:sz w:val="24"/>
          <w:szCs w:val="24"/>
        </w:rPr>
        <w:t>Antibiotic Lock Solution Preparation</w:t>
      </w:r>
      <w:r>
        <w:rPr>
          <w:b/>
          <w:sz w:val="24"/>
          <w:szCs w:val="24"/>
        </w:rPr>
        <w:t xml:space="preserve"> – Heparinized</w:t>
      </w:r>
    </w:p>
    <w:p w14:paraId="0F0E07AB" w14:textId="77777777" w:rsidR="009B0CCB" w:rsidRPr="009B0CCB" w:rsidRDefault="001D11DA" w:rsidP="009B0CCB">
      <w:pPr>
        <w:pStyle w:val="ListParagraph"/>
        <w:numPr>
          <w:ilvl w:val="1"/>
          <w:numId w:val="27"/>
        </w:numPr>
        <w:autoSpaceDE w:val="0"/>
        <w:autoSpaceDN w:val="0"/>
        <w:adjustRightInd w:val="0"/>
        <w:spacing w:after="0" w:line="240" w:lineRule="auto"/>
        <w:rPr>
          <w:rFonts w:cs="Univers-Light"/>
          <w:b/>
          <w:sz w:val="24"/>
          <w:szCs w:val="14"/>
        </w:rPr>
      </w:pPr>
      <w:r>
        <w:rPr>
          <w:rFonts w:cs="Univers-Light"/>
          <w:sz w:val="24"/>
          <w:szCs w:val="14"/>
        </w:rPr>
        <w:t xml:space="preserve">The addition of heparin to the ALT solution has been shown to be effective with penetration of biofilms associated with central catheter infections. It is at the physician’s discretion to include or exclude heparin from the ALT solution. IF heparin </w:t>
      </w:r>
      <w:r>
        <w:rPr>
          <w:rFonts w:cs="Univers-Light"/>
          <w:sz w:val="24"/>
          <w:szCs w:val="14"/>
        </w:rPr>
        <w:lastRenderedPageBreak/>
        <w:t xml:space="preserve">is required, follow the procedure below for preparation of heparinized ALT solution. </w:t>
      </w:r>
    </w:p>
    <w:p w14:paraId="0F0E07AC" w14:textId="77777777" w:rsidR="009B0CCB" w:rsidRDefault="001D11DA" w:rsidP="009B0CCB">
      <w:pPr>
        <w:pStyle w:val="ListParagraph"/>
        <w:numPr>
          <w:ilvl w:val="1"/>
          <w:numId w:val="27"/>
        </w:numPr>
        <w:autoSpaceDE w:val="0"/>
        <w:autoSpaceDN w:val="0"/>
        <w:adjustRightInd w:val="0"/>
        <w:spacing w:after="0" w:line="240" w:lineRule="auto"/>
        <w:rPr>
          <w:rFonts w:cs="Univers-Light"/>
          <w:b/>
          <w:sz w:val="24"/>
          <w:szCs w:val="14"/>
        </w:rPr>
      </w:pPr>
      <w:r w:rsidRPr="009B0CCB">
        <w:rPr>
          <w:rFonts w:cs="Univers-Light"/>
          <w:b/>
          <w:sz w:val="24"/>
          <w:szCs w:val="14"/>
        </w:rPr>
        <w:t>Consistent with nursing catheter flush guidelines, heparin solution should be withdrawn and discarded at completion of dwell time and prior to initiating infusion or drawing blood.</w:t>
      </w:r>
    </w:p>
    <w:p w14:paraId="0F0E07AD" w14:textId="77777777" w:rsidR="009B0CCB" w:rsidRPr="009B0CCB" w:rsidRDefault="009B0CCB" w:rsidP="009B0CCB">
      <w:pPr>
        <w:pStyle w:val="ListParagraph"/>
        <w:numPr>
          <w:ilvl w:val="1"/>
          <w:numId w:val="27"/>
        </w:numPr>
        <w:autoSpaceDE w:val="0"/>
        <w:autoSpaceDN w:val="0"/>
        <w:adjustRightInd w:val="0"/>
        <w:spacing w:after="0" w:line="240" w:lineRule="auto"/>
        <w:rPr>
          <w:rFonts w:cs="Univers-Light"/>
          <w:b/>
          <w:sz w:val="24"/>
          <w:szCs w:val="14"/>
        </w:rPr>
      </w:pPr>
      <w:r w:rsidRPr="009B0CCB">
        <w:rPr>
          <w:sz w:val="24"/>
          <w:szCs w:val="24"/>
        </w:rPr>
        <w:t>Stock solution will be prepared and patient catheter specific volumes will be drawn up individually from stock solution.</w:t>
      </w:r>
    </w:p>
    <w:p w14:paraId="0F0E07AE" w14:textId="77777777" w:rsidR="009B0CCB" w:rsidRDefault="009B0CCB" w:rsidP="009B0CCB">
      <w:pPr>
        <w:pStyle w:val="ListParagraph"/>
        <w:autoSpaceDE w:val="0"/>
        <w:autoSpaceDN w:val="0"/>
        <w:adjustRightInd w:val="0"/>
        <w:spacing w:after="0" w:line="240" w:lineRule="auto"/>
        <w:ind w:left="1440"/>
        <w:rPr>
          <w:rFonts w:cs="Univers-Light"/>
          <w:b/>
          <w:szCs w:val="14"/>
        </w:rPr>
      </w:pPr>
    </w:p>
    <w:p w14:paraId="0F0E07AF" w14:textId="77777777" w:rsidR="00C35DF3" w:rsidRPr="00DE6721" w:rsidRDefault="00C35DF3" w:rsidP="00DE6721">
      <w:pPr>
        <w:pStyle w:val="ListParagraph"/>
        <w:autoSpaceDE w:val="0"/>
        <w:autoSpaceDN w:val="0"/>
        <w:adjustRightInd w:val="0"/>
        <w:spacing w:after="0" w:line="240" w:lineRule="auto"/>
        <w:ind w:left="1440"/>
        <w:rPr>
          <w:b/>
        </w:rPr>
      </w:pPr>
    </w:p>
    <w:tbl>
      <w:tblPr>
        <w:tblStyle w:val="LightList"/>
        <w:tblW w:w="9777" w:type="dxa"/>
        <w:tblLook w:val="04A0" w:firstRow="1" w:lastRow="0" w:firstColumn="1" w:lastColumn="0" w:noHBand="0" w:noVBand="1"/>
      </w:tblPr>
      <w:tblGrid>
        <w:gridCol w:w="2279"/>
        <w:gridCol w:w="165"/>
        <w:gridCol w:w="2444"/>
        <w:gridCol w:w="67"/>
        <w:gridCol w:w="2377"/>
        <w:gridCol w:w="34"/>
        <w:gridCol w:w="2411"/>
      </w:tblGrid>
      <w:tr w:rsidR="00C35DF3" w14:paraId="0F0E07B4" w14:textId="77777777" w:rsidTr="00FD3516">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279" w:type="dxa"/>
          </w:tcPr>
          <w:p w14:paraId="0F0E07B0" w14:textId="77777777" w:rsidR="00C35DF3" w:rsidRPr="00C57BA0" w:rsidRDefault="00C35DF3" w:rsidP="00FD3516">
            <w:pPr>
              <w:pStyle w:val="ListParagraph"/>
              <w:ind w:left="0"/>
              <w:jc w:val="center"/>
              <w:rPr>
                <w:sz w:val="24"/>
                <w:szCs w:val="24"/>
              </w:rPr>
            </w:pPr>
            <w:r w:rsidRPr="00C57BA0">
              <w:rPr>
                <w:sz w:val="24"/>
                <w:szCs w:val="24"/>
              </w:rPr>
              <w:t>Antibiotic</w:t>
            </w:r>
          </w:p>
        </w:tc>
        <w:tc>
          <w:tcPr>
            <w:tcW w:w="2676" w:type="dxa"/>
            <w:gridSpan w:val="3"/>
          </w:tcPr>
          <w:p w14:paraId="0F0E07B1" w14:textId="77777777" w:rsidR="00C35DF3" w:rsidRPr="00C57BA0" w:rsidRDefault="00C35DF3" w:rsidP="00FD3516">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Final </w:t>
            </w:r>
            <w:r w:rsidRPr="00C57BA0">
              <w:rPr>
                <w:sz w:val="24"/>
                <w:szCs w:val="24"/>
              </w:rPr>
              <w:t>Concentration (mg/mL) in NS</w:t>
            </w:r>
          </w:p>
        </w:tc>
        <w:tc>
          <w:tcPr>
            <w:tcW w:w="2411" w:type="dxa"/>
            <w:gridSpan w:val="2"/>
          </w:tcPr>
          <w:p w14:paraId="0F0E07B2" w14:textId="77777777" w:rsidR="00C35DF3" w:rsidRPr="00C57BA0" w:rsidRDefault="00C35DF3" w:rsidP="00DE6721">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sidRPr="00C57BA0">
              <w:rPr>
                <w:sz w:val="24"/>
                <w:szCs w:val="24"/>
              </w:rPr>
              <w:t>Heparin</w:t>
            </w:r>
            <w:r>
              <w:rPr>
                <w:sz w:val="24"/>
                <w:szCs w:val="24"/>
              </w:rPr>
              <w:t xml:space="preserve"> </w:t>
            </w:r>
            <w:r w:rsidR="00B61EA4">
              <w:rPr>
                <w:sz w:val="24"/>
                <w:szCs w:val="24"/>
              </w:rPr>
              <w:t xml:space="preserve"> (Units</w:t>
            </w:r>
            <w:r w:rsidRPr="00C57BA0">
              <w:rPr>
                <w:sz w:val="24"/>
                <w:szCs w:val="24"/>
              </w:rPr>
              <w:t>/mL)</w:t>
            </w:r>
          </w:p>
        </w:tc>
        <w:tc>
          <w:tcPr>
            <w:tcW w:w="2411" w:type="dxa"/>
          </w:tcPr>
          <w:p w14:paraId="0F0E07B3" w14:textId="77777777" w:rsidR="00C35DF3" w:rsidRPr="00C57BA0" w:rsidRDefault="00C35DF3" w:rsidP="00FD3516">
            <w:pPr>
              <w:pStyle w:val="ListParagraph"/>
              <w:ind w:left="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Final Stock Solution Volume (mL)</w:t>
            </w:r>
          </w:p>
        </w:tc>
      </w:tr>
      <w:tr w:rsidR="00C35DF3" w14:paraId="0F0E07B9" w14:textId="77777777" w:rsidTr="00FD351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79" w:type="dxa"/>
          </w:tcPr>
          <w:p w14:paraId="0F0E07B5" w14:textId="77777777" w:rsidR="00C35DF3" w:rsidRDefault="00C35DF3" w:rsidP="00FD3516">
            <w:pPr>
              <w:pStyle w:val="ListParagraph"/>
              <w:ind w:left="0"/>
              <w:rPr>
                <w:sz w:val="24"/>
                <w:szCs w:val="24"/>
              </w:rPr>
            </w:pPr>
            <w:r>
              <w:rPr>
                <w:sz w:val="24"/>
                <w:szCs w:val="24"/>
              </w:rPr>
              <w:t>Vancomycin</w:t>
            </w:r>
          </w:p>
        </w:tc>
        <w:tc>
          <w:tcPr>
            <w:tcW w:w="2676" w:type="dxa"/>
            <w:gridSpan w:val="3"/>
          </w:tcPr>
          <w:p w14:paraId="0F0E07B6"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2411" w:type="dxa"/>
            <w:gridSpan w:val="2"/>
          </w:tcPr>
          <w:p w14:paraId="0F0E07B7"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5000</w:t>
            </w:r>
          </w:p>
        </w:tc>
        <w:tc>
          <w:tcPr>
            <w:tcW w:w="2411" w:type="dxa"/>
          </w:tcPr>
          <w:p w14:paraId="0F0E07B8"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r w:rsidR="00C35DF3" w14:paraId="0F0E07BE" w14:textId="77777777" w:rsidTr="00FD3516">
        <w:trPr>
          <w:trHeight w:val="347"/>
        </w:trPr>
        <w:tc>
          <w:tcPr>
            <w:cnfStyle w:val="001000000000" w:firstRow="0" w:lastRow="0" w:firstColumn="1" w:lastColumn="0" w:oddVBand="0" w:evenVBand="0" w:oddHBand="0" w:evenHBand="0" w:firstRowFirstColumn="0" w:firstRowLastColumn="0" w:lastRowFirstColumn="0" w:lastRowLastColumn="0"/>
            <w:tcW w:w="2279" w:type="dxa"/>
          </w:tcPr>
          <w:p w14:paraId="0F0E07BA" w14:textId="77777777" w:rsidR="00C35DF3" w:rsidRDefault="00C35DF3" w:rsidP="00FD3516">
            <w:pPr>
              <w:pStyle w:val="ListParagraph"/>
              <w:ind w:left="0"/>
              <w:rPr>
                <w:sz w:val="24"/>
                <w:szCs w:val="24"/>
              </w:rPr>
            </w:pPr>
            <w:r>
              <w:rPr>
                <w:sz w:val="24"/>
                <w:szCs w:val="24"/>
              </w:rPr>
              <w:t>Cefazolin</w:t>
            </w:r>
          </w:p>
        </w:tc>
        <w:tc>
          <w:tcPr>
            <w:tcW w:w="2676" w:type="dxa"/>
            <w:gridSpan w:val="3"/>
          </w:tcPr>
          <w:p w14:paraId="0F0E07BB" w14:textId="77777777" w:rsidR="00C35DF3" w:rsidRDefault="00C35DF3" w:rsidP="00FD3516">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c>
          <w:tcPr>
            <w:tcW w:w="2411" w:type="dxa"/>
            <w:gridSpan w:val="2"/>
          </w:tcPr>
          <w:p w14:paraId="0F0E07BC" w14:textId="77777777" w:rsidR="00C35DF3" w:rsidRDefault="00C35DF3" w:rsidP="00FD3516">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2500</w:t>
            </w:r>
          </w:p>
        </w:tc>
        <w:tc>
          <w:tcPr>
            <w:tcW w:w="2411" w:type="dxa"/>
          </w:tcPr>
          <w:p w14:paraId="0F0E07BD" w14:textId="77777777" w:rsidR="00C35DF3" w:rsidRDefault="00C35DF3" w:rsidP="00FD3516">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C35DF3" w14:paraId="0F0E07C3" w14:textId="77777777" w:rsidTr="00FD351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279" w:type="dxa"/>
          </w:tcPr>
          <w:p w14:paraId="0F0E07BF" w14:textId="77777777" w:rsidR="00C35DF3" w:rsidRDefault="00C35DF3" w:rsidP="00FD3516">
            <w:pPr>
              <w:pStyle w:val="ListParagraph"/>
              <w:ind w:left="0"/>
              <w:rPr>
                <w:sz w:val="24"/>
                <w:szCs w:val="24"/>
              </w:rPr>
            </w:pPr>
            <w:r>
              <w:rPr>
                <w:sz w:val="24"/>
                <w:szCs w:val="24"/>
              </w:rPr>
              <w:t>Ceftazidime</w:t>
            </w:r>
          </w:p>
        </w:tc>
        <w:tc>
          <w:tcPr>
            <w:tcW w:w="2676" w:type="dxa"/>
            <w:gridSpan w:val="3"/>
          </w:tcPr>
          <w:p w14:paraId="0F0E07C0"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0.5</w:t>
            </w:r>
          </w:p>
        </w:tc>
        <w:tc>
          <w:tcPr>
            <w:tcW w:w="2411" w:type="dxa"/>
            <w:gridSpan w:val="2"/>
          </w:tcPr>
          <w:p w14:paraId="0F0E07C1"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w:t>
            </w:r>
          </w:p>
        </w:tc>
        <w:tc>
          <w:tcPr>
            <w:tcW w:w="2411" w:type="dxa"/>
          </w:tcPr>
          <w:p w14:paraId="0F0E07C2"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r w:rsidR="00C35DF3" w14:paraId="0F0E07C8" w14:textId="77777777" w:rsidTr="00FD3516">
        <w:trPr>
          <w:trHeight w:val="332"/>
        </w:trPr>
        <w:tc>
          <w:tcPr>
            <w:cnfStyle w:val="001000000000" w:firstRow="0" w:lastRow="0" w:firstColumn="1" w:lastColumn="0" w:oddVBand="0" w:evenVBand="0" w:oddHBand="0" w:evenHBand="0" w:firstRowFirstColumn="0" w:firstRowLastColumn="0" w:lastRowFirstColumn="0" w:lastRowLastColumn="0"/>
            <w:tcW w:w="2279" w:type="dxa"/>
          </w:tcPr>
          <w:p w14:paraId="0F0E07C4" w14:textId="77777777" w:rsidR="00C35DF3" w:rsidRDefault="00C35DF3" w:rsidP="00FD3516">
            <w:pPr>
              <w:pStyle w:val="ListParagraph"/>
              <w:ind w:left="0"/>
              <w:rPr>
                <w:sz w:val="24"/>
                <w:szCs w:val="24"/>
              </w:rPr>
            </w:pPr>
            <w:r>
              <w:rPr>
                <w:sz w:val="24"/>
                <w:szCs w:val="24"/>
              </w:rPr>
              <w:t>Gentamicin</w:t>
            </w:r>
          </w:p>
        </w:tc>
        <w:tc>
          <w:tcPr>
            <w:tcW w:w="2676" w:type="dxa"/>
            <w:gridSpan w:val="3"/>
          </w:tcPr>
          <w:p w14:paraId="0F0E07C5" w14:textId="77777777" w:rsidR="00C35DF3" w:rsidRDefault="00C35DF3" w:rsidP="00FD3516">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2411" w:type="dxa"/>
            <w:gridSpan w:val="2"/>
          </w:tcPr>
          <w:p w14:paraId="0F0E07C6" w14:textId="77777777" w:rsidR="00C35DF3" w:rsidRDefault="00C35DF3" w:rsidP="00FD3516">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2500</w:t>
            </w:r>
          </w:p>
        </w:tc>
        <w:tc>
          <w:tcPr>
            <w:tcW w:w="2411" w:type="dxa"/>
          </w:tcPr>
          <w:p w14:paraId="0F0E07C7" w14:textId="77777777" w:rsidR="00C35DF3" w:rsidRDefault="00C35DF3" w:rsidP="00FD3516">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C35DF3" w14:paraId="0F0E07CD" w14:textId="77777777" w:rsidTr="00FD351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279" w:type="dxa"/>
          </w:tcPr>
          <w:p w14:paraId="0F0E07C9" w14:textId="77777777" w:rsidR="00C35DF3" w:rsidRDefault="00C35DF3" w:rsidP="00FD3516">
            <w:pPr>
              <w:pStyle w:val="ListParagraph"/>
              <w:ind w:left="0"/>
              <w:rPr>
                <w:sz w:val="24"/>
                <w:szCs w:val="24"/>
              </w:rPr>
            </w:pPr>
            <w:r>
              <w:rPr>
                <w:sz w:val="24"/>
                <w:szCs w:val="24"/>
              </w:rPr>
              <w:t>Ampicillin</w:t>
            </w:r>
          </w:p>
        </w:tc>
        <w:tc>
          <w:tcPr>
            <w:tcW w:w="2676" w:type="dxa"/>
            <w:gridSpan w:val="3"/>
          </w:tcPr>
          <w:p w14:paraId="0F0E07CA"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2411" w:type="dxa"/>
            <w:gridSpan w:val="2"/>
          </w:tcPr>
          <w:p w14:paraId="0F0E07CB"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5000</w:t>
            </w:r>
          </w:p>
        </w:tc>
        <w:tc>
          <w:tcPr>
            <w:tcW w:w="2411" w:type="dxa"/>
          </w:tcPr>
          <w:p w14:paraId="0F0E07CC"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r w:rsidR="00B7007F" w14:paraId="0F0E07CF" w14:textId="77777777" w:rsidTr="00314882">
        <w:trPr>
          <w:trHeight w:val="547"/>
        </w:trPr>
        <w:tc>
          <w:tcPr>
            <w:cnfStyle w:val="001000000000" w:firstRow="0" w:lastRow="0" w:firstColumn="1" w:lastColumn="0" w:oddVBand="0" w:evenVBand="0" w:oddHBand="0" w:evenHBand="0" w:firstRowFirstColumn="0" w:firstRowLastColumn="0" w:lastRowFirstColumn="0" w:lastRowLastColumn="0"/>
            <w:tcW w:w="2444" w:type="dxa"/>
            <w:gridSpan w:val="2"/>
            <w:shd w:val="clear" w:color="auto" w:fill="000000" w:themeFill="text1"/>
          </w:tcPr>
          <w:p w14:paraId="6769B866" w14:textId="77777777" w:rsidR="00B7007F" w:rsidRPr="001F2881" w:rsidRDefault="00B7007F" w:rsidP="00B7007F">
            <w:pPr>
              <w:pStyle w:val="ListParagraph"/>
              <w:ind w:left="0"/>
              <w:rPr>
                <w:sz w:val="24"/>
                <w:szCs w:val="24"/>
              </w:rPr>
            </w:pPr>
            <w:r w:rsidRPr="001F2881">
              <w:rPr>
                <w:color w:val="FFFFFF" w:themeColor="background1"/>
                <w:sz w:val="24"/>
                <w:szCs w:val="24"/>
              </w:rPr>
              <w:t xml:space="preserve">Restricted Antimicrobial**  </w:t>
            </w:r>
          </w:p>
        </w:tc>
        <w:tc>
          <w:tcPr>
            <w:tcW w:w="2444" w:type="dxa"/>
            <w:shd w:val="clear" w:color="auto" w:fill="000000" w:themeFill="text1"/>
          </w:tcPr>
          <w:p w14:paraId="7A7EC79F" w14:textId="34EB76F8" w:rsidR="00B7007F" w:rsidRPr="001F2881" w:rsidRDefault="00B7007F" w:rsidP="009B0CCB">
            <w:pPr>
              <w:pStyle w:val="ListParagraph"/>
              <w:ind w:left="0"/>
              <w:cnfStyle w:val="000000000000" w:firstRow="0" w:lastRow="0" w:firstColumn="0" w:lastColumn="0" w:oddVBand="0" w:evenVBand="0" w:oddHBand="0" w:evenHBand="0" w:firstRowFirstColumn="0" w:firstRowLastColumn="0" w:lastRowFirstColumn="0" w:lastRowLastColumn="0"/>
              <w:rPr>
                <w:b/>
                <w:bCs/>
                <w:sz w:val="24"/>
                <w:szCs w:val="24"/>
              </w:rPr>
            </w:pPr>
            <w:r w:rsidRPr="001F2881">
              <w:rPr>
                <w:b/>
                <w:sz w:val="24"/>
                <w:szCs w:val="24"/>
              </w:rPr>
              <w:t>Final Concentration (mg/mL) in LR</w:t>
            </w:r>
          </w:p>
        </w:tc>
        <w:tc>
          <w:tcPr>
            <w:tcW w:w="2444" w:type="dxa"/>
            <w:gridSpan w:val="2"/>
            <w:shd w:val="clear" w:color="auto" w:fill="000000" w:themeFill="text1"/>
          </w:tcPr>
          <w:p w14:paraId="6CBD0B55" w14:textId="0BED0DD0" w:rsidR="00B7007F" w:rsidRPr="001F2881" w:rsidRDefault="00B7007F" w:rsidP="009B0CCB">
            <w:pPr>
              <w:pStyle w:val="ListParagraph"/>
              <w:ind w:left="0"/>
              <w:cnfStyle w:val="000000000000" w:firstRow="0" w:lastRow="0" w:firstColumn="0" w:lastColumn="0" w:oddVBand="0" w:evenVBand="0" w:oddHBand="0" w:evenHBand="0" w:firstRowFirstColumn="0" w:firstRowLastColumn="0" w:lastRowFirstColumn="0" w:lastRowLastColumn="0"/>
              <w:rPr>
                <w:b/>
                <w:bCs/>
                <w:sz w:val="24"/>
                <w:szCs w:val="24"/>
              </w:rPr>
            </w:pPr>
            <w:r w:rsidRPr="001F2881">
              <w:rPr>
                <w:b/>
                <w:sz w:val="24"/>
                <w:szCs w:val="24"/>
              </w:rPr>
              <w:t>Heparin  (Units/mL)</w:t>
            </w:r>
          </w:p>
        </w:tc>
        <w:tc>
          <w:tcPr>
            <w:tcW w:w="2445" w:type="dxa"/>
            <w:gridSpan w:val="2"/>
            <w:shd w:val="clear" w:color="auto" w:fill="000000" w:themeFill="text1"/>
          </w:tcPr>
          <w:p w14:paraId="0F0E07CE" w14:textId="6B91776E" w:rsidR="00B7007F" w:rsidRPr="001F2881" w:rsidRDefault="00B7007F" w:rsidP="009B0CCB">
            <w:pPr>
              <w:pStyle w:val="ListParagraph"/>
              <w:ind w:left="0"/>
              <w:cnfStyle w:val="000000000000" w:firstRow="0" w:lastRow="0" w:firstColumn="0" w:lastColumn="0" w:oddVBand="0" w:evenVBand="0" w:oddHBand="0" w:evenHBand="0" w:firstRowFirstColumn="0" w:firstRowLastColumn="0" w:lastRowFirstColumn="0" w:lastRowLastColumn="0"/>
              <w:rPr>
                <w:b/>
                <w:sz w:val="24"/>
                <w:szCs w:val="24"/>
              </w:rPr>
            </w:pPr>
            <w:r w:rsidRPr="001F2881">
              <w:rPr>
                <w:b/>
                <w:sz w:val="24"/>
                <w:szCs w:val="24"/>
              </w:rPr>
              <w:t>Final Stock Solution Volume (mL)</w:t>
            </w:r>
          </w:p>
        </w:tc>
      </w:tr>
      <w:tr w:rsidR="00C35DF3" w14:paraId="0F0E07D4" w14:textId="77777777" w:rsidTr="00FD351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279" w:type="dxa"/>
          </w:tcPr>
          <w:p w14:paraId="0F0E07D0" w14:textId="77777777" w:rsidR="00C35DF3" w:rsidRDefault="00C35DF3" w:rsidP="00FD3516">
            <w:pPr>
              <w:pStyle w:val="ListParagraph"/>
              <w:ind w:left="0"/>
              <w:rPr>
                <w:sz w:val="24"/>
                <w:szCs w:val="24"/>
              </w:rPr>
            </w:pPr>
            <w:proofErr w:type="spellStart"/>
            <w:r>
              <w:rPr>
                <w:sz w:val="24"/>
                <w:szCs w:val="24"/>
              </w:rPr>
              <w:t>Daptomycin</w:t>
            </w:r>
            <w:proofErr w:type="spellEnd"/>
          </w:p>
        </w:tc>
        <w:tc>
          <w:tcPr>
            <w:tcW w:w="2676" w:type="dxa"/>
            <w:gridSpan w:val="3"/>
          </w:tcPr>
          <w:p w14:paraId="0F0E07D1"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2411" w:type="dxa"/>
            <w:gridSpan w:val="2"/>
          </w:tcPr>
          <w:p w14:paraId="0F0E07D2"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5000</w:t>
            </w:r>
          </w:p>
        </w:tc>
        <w:tc>
          <w:tcPr>
            <w:tcW w:w="2411" w:type="dxa"/>
          </w:tcPr>
          <w:p w14:paraId="0F0E07D3" w14:textId="77777777" w:rsidR="00C35DF3" w:rsidRDefault="00C35DF3" w:rsidP="00FD3516">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r>
    </w:tbl>
    <w:p w14:paraId="0F0E07D5" w14:textId="77777777" w:rsidR="009B0CCB" w:rsidRDefault="009B0CCB" w:rsidP="009B0CCB">
      <w:pPr>
        <w:rPr>
          <w:sz w:val="24"/>
          <w:szCs w:val="24"/>
        </w:rPr>
      </w:pPr>
      <w:r>
        <w:rPr>
          <w:sz w:val="24"/>
          <w:szCs w:val="24"/>
        </w:rPr>
        <w:t>**</w:t>
      </w:r>
      <w:r w:rsidRPr="00427803">
        <w:rPr>
          <w:sz w:val="24"/>
          <w:szCs w:val="24"/>
        </w:rPr>
        <w:t xml:space="preserve">Infectious diseases consult required prior to use </w:t>
      </w:r>
    </w:p>
    <w:tbl>
      <w:tblPr>
        <w:tblStyle w:val="LightList"/>
        <w:tblW w:w="9696" w:type="dxa"/>
        <w:tblLook w:val="04A0" w:firstRow="1" w:lastRow="0" w:firstColumn="1" w:lastColumn="0" w:noHBand="0" w:noVBand="1"/>
      </w:tblPr>
      <w:tblGrid>
        <w:gridCol w:w="2808"/>
        <w:gridCol w:w="6888"/>
      </w:tblGrid>
      <w:tr w:rsidR="00427803" w14:paraId="0F0E07D8" w14:textId="77777777" w:rsidTr="00FD3516">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D6" w14:textId="77777777" w:rsidR="00427803" w:rsidRPr="00C0079F" w:rsidRDefault="00427803" w:rsidP="00FD3516">
            <w:pPr>
              <w:pStyle w:val="ListParagraph"/>
              <w:ind w:left="0"/>
              <w:jc w:val="center"/>
              <w:rPr>
                <w:sz w:val="24"/>
                <w:szCs w:val="24"/>
              </w:rPr>
            </w:pPr>
            <w:r>
              <w:rPr>
                <w:sz w:val="24"/>
                <w:szCs w:val="24"/>
              </w:rPr>
              <w:t>Antibiotic Solution and Final Concentrations</w:t>
            </w:r>
          </w:p>
        </w:tc>
        <w:tc>
          <w:tcPr>
            <w:tcW w:w="6888" w:type="dxa"/>
          </w:tcPr>
          <w:p w14:paraId="0F0E07D7" w14:textId="77777777" w:rsidR="00427803" w:rsidRPr="00C0079F" w:rsidRDefault="00427803" w:rsidP="00FD3516">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Stock Solution Preparation Instructions</w:t>
            </w:r>
          </w:p>
        </w:tc>
      </w:tr>
      <w:tr w:rsidR="00427803" w14:paraId="0F0E07DE" w14:textId="77777777" w:rsidTr="00FD35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D9" w14:textId="77777777" w:rsidR="00427803" w:rsidRPr="00520B68" w:rsidRDefault="00427803" w:rsidP="00FD3516">
            <w:pPr>
              <w:pStyle w:val="ListParagraph"/>
              <w:ind w:left="0"/>
              <w:jc w:val="both"/>
              <w:rPr>
                <w:b w:val="0"/>
                <w:sz w:val="24"/>
                <w:szCs w:val="24"/>
              </w:rPr>
            </w:pPr>
            <w:r>
              <w:rPr>
                <w:b w:val="0"/>
                <w:sz w:val="24"/>
                <w:szCs w:val="24"/>
              </w:rPr>
              <w:t>Vancomycin 5 mg/mL + Heparin 5000 U/mL</w:t>
            </w:r>
          </w:p>
        </w:tc>
        <w:tc>
          <w:tcPr>
            <w:tcW w:w="6888" w:type="dxa"/>
          </w:tcPr>
          <w:p w14:paraId="0F0E07DA" w14:textId="77777777" w:rsidR="00427803" w:rsidRPr="005B7014" w:rsidRDefault="00427803" w:rsidP="005B701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Dilute 500 mg of vancomycin with 10 mL of NS (50 mg/mL)</w:t>
            </w:r>
          </w:p>
          <w:p w14:paraId="0F0E07DB" w14:textId="77777777" w:rsidR="00427803" w:rsidRPr="005B7014" w:rsidRDefault="00427803" w:rsidP="005B701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Remove 1 mL of vancomycin solution (50 mg) and further dilute with 4 mL of NS resulting in concentration of 10 mg/mL – label “solution A”</w:t>
            </w:r>
          </w:p>
          <w:p w14:paraId="0F0E07DC" w14:textId="77777777" w:rsidR="00427803" w:rsidRPr="005B7014" w:rsidRDefault="00427803" w:rsidP="005B701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Draw up 1.5 mL of 10,000 U</w:t>
            </w:r>
            <w:r w:rsidR="00961AC3">
              <w:rPr>
                <w:sz w:val="24"/>
                <w:szCs w:val="24"/>
              </w:rPr>
              <w:t>nits</w:t>
            </w:r>
            <w:r w:rsidRPr="005B7014">
              <w:rPr>
                <w:sz w:val="24"/>
                <w:szCs w:val="24"/>
              </w:rPr>
              <w:t>/mL heparin into a syringe and mix with 1.5 mL of solution A (15 mg vancomycin) for 3 mL of final solution</w:t>
            </w:r>
          </w:p>
          <w:p w14:paraId="0F0E07DD" w14:textId="77777777" w:rsidR="00427803" w:rsidRPr="007675E9" w:rsidRDefault="00427803" w:rsidP="00FD3516">
            <w:pPr>
              <w:pStyle w:val="ListParagraph"/>
              <w:cnfStyle w:val="000000100000" w:firstRow="0" w:lastRow="0" w:firstColumn="0" w:lastColumn="0" w:oddVBand="0" w:evenVBand="0" w:oddHBand="1" w:evenHBand="0" w:firstRowFirstColumn="0" w:firstRowLastColumn="0" w:lastRowFirstColumn="0" w:lastRowLastColumn="0"/>
              <w:rPr>
                <w:sz w:val="12"/>
                <w:szCs w:val="24"/>
              </w:rPr>
            </w:pPr>
          </w:p>
        </w:tc>
      </w:tr>
      <w:tr w:rsidR="00427803" w14:paraId="0F0E07E4" w14:textId="77777777" w:rsidTr="00FD3516">
        <w:trPr>
          <w:trHeight w:val="285"/>
        </w:trPr>
        <w:tc>
          <w:tcPr>
            <w:cnfStyle w:val="001000000000" w:firstRow="0" w:lastRow="0" w:firstColumn="1" w:lastColumn="0" w:oddVBand="0" w:evenVBand="0" w:oddHBand="0" w:evenHBand="0" w:firstRowFirstColumn="0" w:firstRowLastColumn="0" w:lastRowFirstColumn="0" w:lastRowLastColumn="0"/>
            <w:tcW w:w="2808" w:type="dxa"/>
          </w:tcPr>
          <w:p w14:paraId="0F0E07DF" w14:textId="77777777" w:rsidR="00427803" w:rsidRDefault="00427803" w:rsidP="00FD3516">
            <w:pPr>
              <w:pStyle w:val="ListParagraph"/>
              <w:ind w:left="0"/>
              <w:rPr>
                <w:b w:val="0"/>
                <w:sz w:val="24"/>
                <w:szCs w:val="24"/>
              </w:rPr>
            </w:pPr>
            <w:r>
              <w:rPr>
                <w:b w:val="0"/>
                <w:sz w:val="24"/>
                <w:szCs w:val="24"/>
              </w:rPr>
              <w:t>Cefazolin 5 mg/mL + Heparin 2500 U/mL</w:t>
            </w:r>
          </w:p>
        </w:tc>
        <w:tc>
          <w:tcPr>
            <w:tcW w:w="6888" w:type="dxa"/>
          </w:tcPr>
          <w:p w14:paraId="0F0E07E0" w14:textId="77777777" w:rsidR="00427803" w:rsidRPr="005B7014" w:rsidRDefault="00427803" w:rsidP="005B7014">
            <w:pPr>
              <w:pStyle w:val="ListParagraph"/>
              <w:numPr>
                <w:ilvl w:val="0"/>
                <w:numId w:val="19"/>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Dilute 500 mg of cefazolin with 10 mL of normal saline (50 mg/mL) – label “solution A”</w:t>
            </w:r>
          </w:p>
          <w:p w14:paraId="0F0E07E1" w14:textId="77777777" w:rsidR="00427803" w:rsidRPr="005B7014" w:rsidRDefault="00427803" w:rsidP="005B7014">
            <w:pPr>
              <w:pStyle w:val="ListParagraph"/>
              <w:numPr>
                <w:ilvl w:val="0"/>
                <w:numId w:val="19"/>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Remove 1 mL of the cefazolin 50 mg/mL solution and further dilute with 4 mL of NS resulting in a concentration of 10 mg/mL</w:t>
            </w:r>
          </w:p>
          <w:p w14:paraId="0F0E07E2" w14:textId="77777777" w:rsidR="00427803" w:rsidRPr="005B7014" w:rsidRDefault="00427803" w:rsidP="005B7014">
            <w:pPr>
              <w:pStyle w:val="ListParagraph"/>
              <w:numPr>
                <w:ilvl w:val="0"/>
                <w:numId w:val="19"/>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Draw up 1.5 mL of 5,000 U</w:t>
            </w:r>
            <w:r w:rsidR="00961AC3">
              <w:rPr>
                <w:sz w:val="24"/>
                <w:szCs w:val="24"/>
              </w:rPr>
              <w:t>nits</w:t>
            </w:r>
            <w:r w:rsidRPr="005B7014">
              <w:rPr>
                <w:sz w:val="24"/>
                <w:szCs w:val="24"/>
              </w:rPr>
              <w:t>/mL heparin into a syringe and mix with 1.5 mL of solution A (15 mg cefazolin) for 3 mL of final solution</w:t>
            </w:r>
          </w:p>
          <w:p w14:paraId="0F0E07E3" w14:textId="77777777" w:rsidR="00427803" w:rsidRPr="007675E9" w:rsidRDefault="00427803" w:rsidP="00FD3516">
            <w:pPr>
              <w:pStyle w:val="ListParagraph"/>
              <w:cnfStyle w:val="000000000000" w:firstRow="0" w:lastRow="0" w:firstColumn="0" w:lastColumn="0" w:oddVBand="0" w:evenVBand="0" w:oddHBand="0" w:evenHBand="0" w:firstRowFirstColumn="0" w:firstRowLastColumn="0" w:lastRowFirstColumn="0" w:lastRowLastColumn="0"/>
              <w:rPr>
                <w:sz w:val="12"/>
                <w:szCs w:val="24"/>
              </w:rPr>
            </w:pPr>
          </w:p>
        </w:tc>
      </w:tr>
      <w:tr w:rsidR="00427803" w14:paraId="0F0E07ED" w14:textId="77777777" w:rsidTr="00FD351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E5" w14:textId="77777777" w:rsidR="00427803" w:rsidRDefault="00427803" w:rsidP="00FD3516">
            <w:pPr>
              <w:pStyle w:val="ListParagraph"/>
              <w:ind w:left="0"/>
              <w:rPr>
                <w:b w:val="0"/>
                <w:sz w:val="24"/>
                <w:szCs w:val="24"/>
              </w:rPr>
            </w:pPr>
            <w:r>
              <w:rPr>
                <w:b w:val="0"/>
                <w:sz w:val="24"/>
                <w:szCs w:val="24"/>
              </w:rPr>
              <w:lastRenderedPageBreak/>
              <w:t>Ceftazidime 0.5 mg/mL + Heparin 100 U/mL</w:t>
            </w:r>
          </w:p>
        </w:tc>
        <w:tc>
          <w:tcPr>
            <w:tcW w:w="6888" w:type="dxa"/>
          </w:tcPr>
          <w:p w14:paraId="0F0E07E6" w14:textId="77777777" w:rsidR="00427803" w:rsidRPr="005B7014" w:rsidRDefault="00427803" w:rsidP="005B7014">
            <w:pPr>
              <w:pStyle w:val="ListParagraph"/>
              <w:numPr>
                <w:ilvl w:val="0"/>
                <w:numId w:val="20"/>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Dilute 1,000 mg ceftazidime product with 10 mL of NS (100 mg/mL) – label “solution A”</w:t>
            </w:r>
          </w:p>
          <w:p w14:paraId="0F0E07E7" w14:textId="77777777" w:rsidR="00427803" w:rsidRPr="005B7014" w:rsidRDefault="00427803" w:rsidP="005B7014">
            <w:pPr>
              <w:pStyle w:val="ListParagraph"/>
              <w:numPr>
                <w:ilvl w:val="0"/>
                <w:numId w:val="20"/>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Remove 1 mL of solution A (ceftazidime 100 mg) and further dilute with 19 mL of NS resulting in a concentration of 5 mg/mL – label “solution B”</w:t>
            </w:r>
          </w:p>
          <w:p w14:paraId="0F0E07E8" w14:textId="77777777" w:rsidR="00427803" w:rsidRPr="005B7014" w:rsidRDefault="00427803" w:rsidP="005B7014">
            <w:pPr>
              <w:pStyle w:val="ListParagraph"/>
              <w:numPr>
                <w:ilvl w:val="0"/>
                <w:numId w:val="20"/>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 xml:space="preserve">Withdraw 1 mL of solution B </w:t>
            </w:r>
            <w:r w:rsidR="0056553D">
              <w:rPr>
                <w:sz w:val="24"/>
                <w:szCs w:val="24"/>
              </w:rPr>
              <w:t>(5 mg) and further dilute with 4</w:t>
            </w:r>
            <w:r w:rsidRPr="005B7014">
              <w:rPr>
                <w:sz w:val="24"/>
                <w:szCs w:val="24"/>
              </w:rPr>
              <w:t xml:space="preserve"> mL of NS for a final concentration of 1 mg/mL – label “solution C”</w:t>
            </w:r>
          </w:p>
          <w:p w14:paraId="0F0E07E9" w14:textId="77777777" w:rsidR="00427803" w:rsidRPr="005B7014" w:rsidRDefault="00427803" w:rsidP="005B7014">
            <w:pPr>
              <w:pStyle w:val="ListParagraph"/>
              <w:numPr>
                <w:ilvl w:val="0"/>
                <w:numId w:val="20"/>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Withdraw 1.5 mL of solution C (ceftazidime 1.5 mg) and add 0.3 mL of heparin 1,000 U</w:t>
            </w:r>
            <w:r w:rsidR="00961AC3">
              <w:rPr>
                <w:sz w:val="24"/>
                <w:szCs w:val="24"/>
              </w:rPr>
              <w:t>nits</w:t>
            </w:r>
            <w:r w:rsidRPr="005B7014">
              <w:rPr>
                <w:sz w:val="24"/>
                <w:szCs w:val="24"/>
              </w:rPr>
              <w:t>/mL</w:t>
            </w:r>
          </w:p>
          <w:p w14:paraId="0F0E07EA" w14:textId="77777777" w:rsidR="00427803" w:rsidRDefault="00427803" w:rsidP="005B7014">
            <w:pPr>
              <w:pStyle w:val="ListParagraph"/>
              <w:numPr>
                <w:ilvl w:val="0"/>
                <w:numId w:val="20"/>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QS to 3 mL with NS</w:t>
            </w:r>
          </w:p>
          <w:p w14:paraId="0F0E07EB" w14:textId="77777777" w:rsidR="00FD3516" w:rsidRPr="005B7014" w:rsidRDefault="00FD3516" w:rsidP="00DE6721">
            <w:pPr>
              <w:pStyle w:val="ListParagraph"/>
              <w:ind w:left="702"/>
              <w:cnfStyle w:val="000000100000" w:firstRow="0" w:lastRow="0" w:firstColumn="0" w:lastColumn="0" w:oddVBand="0" w:evenVBand="0" w:oddHBand="1" w:evenHBand="0" w:firstRowFirstColumn="0" w:firstRowLastColumn="0" w:lastRowFirstColumn="0" w:lastRowLastColumn="0"/>
              <w:rPr>
                <w:sz w:val="24"/>
                <w:szCs w:val="24"/>
              </w:rPr>
            </w:pPr>
          </w:p>
          <w:p w14:paraId="0F0E07EC" w14:textId="77777777" w:rsidR="00427803" w:rsidRPr="007675E9" w:rsidRDefault="00427803" w:rsidP="00FD3516">
            <w:pPr>
              <w:pStyle w:val="ListParagraph"/>
              <w:cnfStyle w:val="000000100000" w:firstRow="0" w:lastRow="0" w:firstColumn="0" w:lastColumn="0" w:oddVBand="0" w:evenVBand="0" w:oddHBand="1" w:evenHBand="0" w:firstRowFirstColumn="0" w:firstRowLastColumn="0" w:lastRowFirstColumn="0" w:lastRowLastColumn="0"/>
              <w:rPr>
                <w:sz w:val="12"/>
                <w:szCs w:val="24"/>
              </w:rPr>
            </w:pPr>
            <w:r>
              <w:rPr>
                <w:sz w:val="24"/>
                <w:szCs w:val="24"/>
              </w:rPr>
              <w:t xml:space="preserve"> </w:t>
            </w:r>
          </w:p>
        </w:tc>
      </w:tr>
      <w:tr w:rsidR="00427803" w14:paraId="0F0E07F4" w14:textId="77777777" w:rsidTr="00FD3516">
        <w:trPr>
          <w:trHeight w:val="299"/>
        </w:trPr>
        <w:tc>
          <w:tcPr>
            <w:cnfStyle w:val="001000000000" w:firstRow="0" w:lastRow="0" w:firstColumn="1" w:lastColumn="0" w:oddVBand="0" w:evenVBand="0" w:oddHBand="0" w:evenHBand="0" w:firstRowFirstColumn="0" w:firstRowLastColumn="0" w:lastRowFirstColumn="0" w:lastRowLastColumn="0"/>
            <w:tcW w:w="2808" w:type="dxa"/>
          </w:tcPr>
          <w:p w14:paraId="0F0E07EE" w14:textId="5C3EE36E" w:rsidR="00427803" w:rsidRDefault="00427803" w:rsidP="00FD3516">
            <w:pPr>
              <w:pStyle w:val="ListParagraph"/>
              <w:ind w:left="0"/>
              <w:rPr>
                <w:b w:val="0"/>
                <w:sz w:val="24"/>
                <w:szCs w:val="24"/>
              </w:rPr>
            </w:pPr>
            <w:r>
              <w:rPr>
                <w:b w:val="0"/>
                <w:sz w:val="24"/>
                <w:szCs w:val="24"/>
              </w:rPr>
              <w:t xml:space="preserve">Gentamicin 1 mg/mL + </w:t>
            </w:r>
            <w:r w:rsidR="00D15EAE">
              <w:rPr>
                <w:b w:val="0"/>
                <w:sz w:val="24"/>
                <w:szCs w:val="24"/>
              </w:rPr>
              <w:t xml:space="preserve">Heparin </w:t>
            </w:r>
            <w:r>
              <w:rPr>
                <w:b w:val="0"/>
                <w:sz w:val="24"/>
                <w:szCs w:val="24"/>
              </w:rPr>
              <w:t>2500 U/mL</w:t>
            </w:r>
          </w:p>
        </w:tc>
        <w:tc>
          <w:tcPr>
            <w:tcW w:w="6888" w:type="dxa"/>
          </w:tcPr>
          <w:p w14:paraId="0F0E07EF" w14:textId="77777777" w:rsidR="00427803" w:rsidRPr="005B7014" w:rsidRDefault="00427803" w:rsidP="005B7014">
            <w:pPr>
              <w:pStyle w:val="ListParagraph"/>
              <w:numPr>
                <w:ilvl w:val="0"/>
                <w:numId w:val="21"/>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Start with a 20 mg/2 mL vial and withdraw 1 mL (10 mg)</w:t>
            </w:r>
          </w:p>
          <w:p w14:paraId="0F0E07F0" w14:textId="77777777" w:rsidR="00427803" w:rsidRPr="005B7014" w:rsidRDefault="00427803" w:rsidP="005B7014">
            <w:pPr>
              <w:pStyle w:val="ListParagraph"/>
              <w:numPr>
                <w:ilvl w:val="0"/>
                <w:numId w:val="21"/>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Further dilute with 4 mL of NS for final concentration of 2 mg/mL – label “solution A”</w:t>
            </w:r>
          </w:p>
          <w:p w14:paraId="0F0E07F1" w14:textId="77777777" w:rsidR="00427803" w:rsidRPr="005B7014" w:rsidRDefault="00427803" w:rsidP="005B7014">
            <w:pPr>
              <w:pStyle w:val="ListParagraph"/>
              <w:numPr>
                <w:ilvl w:val="0"/>
                <w:numId w:val="21"/>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Withdraw 1.5 mL of solution A (gentamicin 3 mg)</w:t>
            </w:r>
          </w:p>
          <w:p w14:paraId="0F0E07F2" w14:textId="77777777" w:rsidR="00427803" w:rsidRPr="005B7014" w:rsidRDefault="00427803" w:rsidP="005B7014">
            <w:pPr>
              <w:pStyle w:val="ListParagraph"/>
              <w:numPr>
                <w:ilvl w:val="0"/>
                <w:numId w:val="21"/>
              </w:numPr>
              <w:ind w:left="702"/>
              <w:cnfStyle w:val="000000000000" w:firstRow="0" w:lastRow="0" w:firstColumn="0" w:lastColumn="0" w:oddVBand="0" w:evenVBand="0" w:oddHBand="0" w:evenHBand="0" w:firstRowFirstColumn="0" w:firstRowLastColumn="0" w:lastRowFirstColumn="0" w:lastRowLastColumn="0"/>
              <w:rPr>
                <w:sz w:val="24"/>
                <w:szCs w:val="24"/>
              </w:rPr>
            </w:pPr>
            <w:r w:rsidRPr="005B7014">
              <w:rPr>
                <w:sz w:val="24"/>
                <w:szCs w:val="24"/>
              </w:rPr>
              <w:t>Add 1.5 mL of heparin 5,000 U</w:t>
            </w:r>
            <w:r w:rsidR="00961AC3">
              <w:rPr>
                <w:sz w:val="24"/>
                <w:szCs w:val="24"/>
              </w:rPr>
              <w:t>nits</w:t>
            </w:r>
            <w:r w:rsidRPr="005B7014">
              <w:rPr>
                <w:sz w:val="24"/>
                <w:szCs w:val="24"/>
              </w:rPr>
              <w:t>/mL to the 1.5 mL of solution A, for a total volume of 3 mL</w:t>
            </w:r>
          </w:p>
          <w:p w14:paraId="0F0E07F3" w14:textId="77777777" w:rsidR="00427803" w:rsidRPr="007675E9" w:rsidRDefault="00427803" w:rsidP="00FD3516">
            <w:pPr>
              <w:pStyle w:val="ListParagraph"/>
              <w:cnfStyle w:val="000000000000" w:firstRow="0" w:lastRow="0" w:firstColumn="0" w:lastColumn="0" w:oddVBand="0" w:evenVBand="0" w:oddHBand="0" w:evenHBand="0" w:firstRowFirstColumn="0" w:firstRowLastColumn="0" w:lastRowFirstColumn="0" w:lastRowLastColumn="0"/>
              <w:rPr>
                <w:sz w:val="12"/>
                <w:szCs w:val="24"/>
              </w:rPr>
            </w:pPr>
          </w:p>
        </w:tc>
      </w:tr>
      <w:tr w:rsidR="00427803" w14:paraId="0F0E07FB" w14:textId="77777777" w:rsidTr="00FD351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8" w:type="dxa"/>
          </w:tcPr>
          <w:p w14:paraId="0F0E07F5" w14:textId="77777777" w:rsidR="00427803" w:rsidRDefault="00427803" w:rsidP="00FD3516">
            <w:pPr>
              <w:pStyle w:val="ListParagraph"/>
              <w:ind w:left="0"/>
              <w:rPr>
                <w:b w:val="0"/>
                <w:sz w:val="24"/>
                <w:szCs w:val="24"/>
              </w:rPr>
            </w:pPr>
            <w:r>
              <w:rPr>
                <w:b w:val="0"/>
                <w:sz w:val="24"/>
                <w:szCs w:val="24"/>
              </w:rPr>
              <w:t>Ampicillin 10 mg/mL + Heparin 5000 U/mL</w:t>
            </w:r>
          </w:p>
        </w:tc>
        <w:tc>
          <w:tcPr>
            <w:tcW w:w="6888" w:type="dxa"/>
          </w:tcPr>
          <w:p w14:paraId="0F0E07F6" w14:textId="77777777" w:rsidR="00427803" w:rsidRPr="005B7014" w:rsidRDefault="00427803" w:rsidP="005B7014">
            <w:pPr>
              <w:pStyle w:val="ListParagraph"/>
              <w:numPr>
                <w:ilvl w:val="0"/>
                <w:numId w:val="22"/>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Dilute 1000 mg of ampicillin in 10 mL of NS (100 mg/mL)</w:t>
            </w:r>
          </w:p>
          <w:p w14:paraId="0F0E07F7" w14:textId="77777777" w:rsidR="00427803" w:rsidRPr="005B7014" w:rsidRDefault="00427803" w:rsidP="005B7014">
            <w:pPr>
              <w:pStyle w:val="ListParagraph"/>
              <w:numPr>
                <w:ilvl w:val="0"/>
                <w:numId w:val="22"/>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Withdraw 0.5 mL of 100 mg/mL solution (ampicillin 50 mg)</w:t>
            </w:r>
          </w:p>
          <w:p w14:paraId="0F0E07F8" w14:textId="77777777" w:rsidR="00427803" w:rsidRPr="005B7014" w:rsidRDefault="00287621" w:rsidP="005B7014">
            <w:pPr>
              <w:pStyle w:val="ListParagraph"/>
              <w:numPr>
                <w:ilvl w:val="0"/>
                <w:numId w:val="22"/>
              </w:numPr>
              <w:ind w:left="702"/>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Add 2</w:t>
            </w:r>
            <w:r w:rsidR="00427803" w:rsidRPr="005B7014">
              <w:rPr>
                <w:sz w:val="24"/>
                <w:szCs w:val="24"/>
              </w:rPr>
              <w:t>.5 mL of heparin 10,000 U</w:t>
            </w:r>
            <w:r w:rsidR="00961AC3">
              <w:rPr>
                <w:sz w:val="24"/>
                <w:szCs w:val="24"/>
              </w:rPr>
              <w:t>nits</w:t>
            </w:r>
            <w:r w:rsidR="00427803" w:rsidRPr="005B7014">
              <w:rPr>
                <w:sz w:val="24"/>
                <w:szCs w:val="24"/>
              </w:rPr>
              <w:t>/mL</w:t>
            </w:r>
          </w:p>
          <w:p w14:paraId="0F0E07F9" w14:textId="77777777" w:rsidR="00427803" w:rsidRPr="005B7014" w:rsidRDefault="00427803" w:rsidP="005B7014">
            <w:pPr>
              <w:pStyle w:val="ListParagraph"/>
              <w:numPr>
                <w:ilvl w:val="0"/>
                <w:numId w:val="22"/>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QS to 5 mL with NS (can dispense 3 mL)</w:t>
            </w:r>
          </w:p>
          <w:p w14:paraId="0F0E07FA" w14:textId="77777777" w:rsidR="00427803" w:rsidRPr="007675E9" w:rsidRDefault="00427803" w:rsidP="00FD3516">
            <w:pPr>
              <w:ind w:left="360"/>
              <w:cnfStyle w:val="000000100000" w:firstRow="0" w:lastRow="0" w:firstColumn="0" w:lastColumn="0" w:oddVBand="0" w:evenVBand="0" w:oddHBand="1" w:evenHBand="0" w:firstRowFirstColumn="0" w:firstRowLastColumn="0" w:lastRowFirstColumn="0" w:lastRowLastColumn="0"/>
              <w:rPr>
                <w:sz w:val="12"/>
                <w:szCs w:val="24"/>
              </w:rPr>
            </w:pPr>
          </w:p>
        </w:tc>
      </w:tr>
      <w:tr w:rsidR="006C74F4" w14:paraId="0F0E07FD" w14:textId="77777777" w:rsidTr="006C74F4">
        <w:trPr>
          <w:trHeight w:val="285"/>
        </w:trPr>
        <w:tc>
          <w:tcPr>
            <w:cnfStyle w:val="001000000000" w:firstRow="0" w:lastRow="0" w:firstColumn="1" w:lastColumn="0" w:oddVBand="0" w:evenVBand="0" w:oddHBand="0" w:evenHBand="0" w:firstRowFirstColumn="0" w:firstRowLastColumn="0" w:lastRowFirstColumn="0" w:lastRowLastColumn="0"/>
            <w:tcW w:w="9696" w:type="dxa"/>
            <w:gridSpan w:val="2"/>
            <w:shd w:val="clear" w:color="auto" w:fill="000000" w:themeFill="text1"/>
          </w:tcPr>
          <w:p w14:paraId="0F0E07FC" w14:textId="77777777" w:rsidR="006C74F4" w:rsidRPr="006C74F4" w:rsidRDefault="006C74F4" w:rsidP="006C74F4">
            <w:pPr>
              <w:jc w:val="center"/>
              <w:rPr>
                <w:sz w:val="24"/>
                <w:szCs w:val="24"/>
              </w:rPr>
            </w:pPr>
            <w:r w:rsidRPr="006C74F4">
              <w:rPr>
                <w:color w:val="FFFFFF" w:themeColor="background1"/>
                <w:sz w:val="24"/>
                <w:szCs w:val="24"/>
              </w:rPr>
              <w:t>Re</w:t>
            </w:r>
            <w:r w:rsidR="009B0CCB">
              <w:rPr>
                <w:color w:val="FFFFFF" w:themeColor="background1"/>
                <w:sz w:val="24"/>
                <w:szCs w:val="24"/>
              </w:rPr>
              <w:t>stricted Antimicrobial</w:t>
            </w:r>
            <w:r w:rsidRPr="006C74F4">
              <w:rPr>
                <w:color w:val="FFFFFF" w:themeColor="background1"/>
                <w:sz w:val="24"/>
                <w:szCs w:val="24"/>
              </w:rPr>
              <w:t>*</w:t>
            </w:r>
            <w:r w:rsidR="009B0CCB">
              <w:rPr>
                <w:color w:val="FFFFFF" w:themeColor="background1"/>
                <w:sz w:val="24"/>
                <w:szCs w:val="24"/>
              </w:rPr>
              <w:t>*</w:t>
            </w:r>
          </w:p>
        </w:tc>
      </w:tr>
      <w:tr w:rsidR="00427803" w14:paraId="0F0E0803" w14:textId="77777777" w:rsidTr="00FD351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08" w:type="dxa"/>
          </w:tcPr>
          <w:p w14:paraId="0F0E07FE" w14:textId="77777777" w:rsidR="00427803" w:rsidRDefault="00427803" w:rsidP="00FD3516">
            <w:pPr>
              <w:pStyle w:val="ListParagraph"/>
              <w:ind w:left="0"/>
              <w:rPr>
                <w:b w:val="0"/>
                <w:sz w:val="24"/>
                <w:szCs w:val="24"/>
              </w:rPr>
            </w:pPr>
            <w:proofErr w:type="spellStart"/>
            <w:r>
              <w:rPr>
                <w:b w:val="0"/>
                <w:sz w:val="24"/>
                <w:szCs w:val="24"/>
              </w:rPr>
              <w:t>Daptomycin</w:t>
            </w:r>
            <w:proofErr w:type="spellEnd"/>
            <w:r>
              <w:rPr>
                <w:b w:val="0"/>
                <w:sz w:val="24"/>
                <w:szCs w:val="24"/>
              </w:rPr>
              <w:t xml:space="preserve"> 5 mg/mL + Heparin 5000 U/mL</w:t>
            </w:r>
          </w:p>
        </w:tc>
        <w:tc>
          <w:tcPr>
            <w:tcW w:w="6888" w:type="dxa"/>
          </w:tcPr>
          <w:p w14:paraId="0F0E07FF" w14:textId="35656FB9" w:rsidR="00427803" w:rsidRPr="00D15EAE" w:rsidRDefault="00427803" w:rsidP="00D15EA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color w:val="0F243E"/>
                <w:sz w:val="20"/>
                <w:szCs w:val="20"/>
                <w:lang w:val="en"/>
              </w:rPr>
            </w:pPr>
            <w:r w:rsidRPr="005B7014">
              <w:rPr>
                <w:sz w:val="24"/>
                <w:szCs w:val="24"/>
              </w:rPr>
              <w:t xml:space="preserve">Dilute 500 mg of </w:t>
            </w:r>
            <w:proofErr w:type="spellStart"/>
            <w:r w:rsidRPr="005B7014">
              <w:rPr>
                <w:sz w:val="24"/>
                <w:szCs w:val="24"/>
              </w:rPr>
              <w:t>daptomycin</w:t>
            </w:r>
            <w:proofErr w:type="spellEnd"/>
            <w:r w:rsidRPr="005B7014">
              <w:rPr>
                <w:sz w:val="24"/>
                <w:szCs w:val="24"/>
              </w:rPr>
              <w:t xml:space="preserve"> in 10 mL of lactated Ringer’s (LR) solution (50 mg/mL)</w:t>
            </w:r>
            <w:r w:rsidR="00D15EAE">
              <w:rPr>
                <w:sz w:val="24"/>
                <w:szCs w:val="24"/>
              </w:rPr>
              <w:t xml:space="preserve"> (</w:t>
            </w:r>
            <w:r w:rsidR="00D15EAE" w:rsidRPr="00D15EAE">
              <w:rPr>
                <w:rFonts w:ascii="Arial" w:hAnsi="Arial" w:cs="Arial"/>
                <w:i/>
                <w:iCs/>
                <w:color w:val="0F243E"/>
                <w:sz w:val="20"/>
                <w:szCs w:val="20"/>
                <w:lang w:val="en"/>
              </w:rPr>
              <w:t xml:space="preserve">Reconstitution of </w:t>
            </w:r>
            <w:proofErr w:type="spellStart"/>
            <w:r w:rsidR="00D15EAE" w:rsidRPr="00D15EAE">
              <w:rPr>
                <w:rFonts w:ascii="Arial" w:hAnsi="Arial" w:cs="Arial"/>
                <w:i/>
                <w:iCs/>
                <w:color w:val="0F243E"/>
                <w:sz w:val="20"/>
                <w:szCs w:val="20"/>
                <w:lang w:val="en"/>
              </w:rPr>
              <w:t>daptomycin</w:t>
            </w:r>
            <w:proofErr w:type="spellEnd"/>
            <w:r w:rsidR="00D15EAE" w:rsidRPr="00D15EAE">
              <w:rPr>
                <w:rFonts w:ascii="Arial" w:hAnsi="Arial" w:cs="Arial"/>
                <w:i/>
                <w:iCs/>
                <w:color w:val="0F243E"/>
                <w:sz w:val="20"/>
                <w:szCs w:val="20"/>
                <w:lang w:val="en"/>
              </w:rPr>
              <w:t xml:space="preserve"> with Lactated Ringer’s solution (LR) or supplementation of the lock solution with calcium is required for activity</w:t>
            </w:r>
            <w:r w:rsidR="00D15EAE">
              <w:rPr>
                <w:rFonts w:ascii="Arial" w:hAnsi="Arial" w:cs="Arial"/>
                <w:i/>
                <w:iCs/>
                <w:color w:val="0F243E"/>
                <w:sz w:val="20"/>
                <w:szCs w:val="20"/>
                <w:lang w:val="en"/>
              </w:rPr>
              <w:t>)</w:t>
            </w:r>
          </w:p>
          <w:p w14:paraId="0F0E0800" w14:textId="77777777" w:rsidR="00427803" w:rsidRPr="005B7014" w:rsidRDefault="00427803" w:rsidP="005B7014">
            <w:pPr>
              <w:pStyle w:val="ListParagraph"/>
              <w:numPr>
                <w:ilvl w:val="0"/>
                <w:numId w:val="23"/>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 xml:space="preserve">Remove 1 mL of </w:t>
            </w:r>
            <w:proofErr w:type="spellStart"/>
            <w:r w:rsidRPr="005B7014">
              <w:rPr>
                <w:sz w:val="24"/>
                <w:szCs w:val="24"/>
              </w:rPr>
              <w:t>daptomycin</w:t>
            </w:r>
            <w:proofErr w:type="spellEnd"/>
            <w:r w:rsidRPr="005B7014">
              <w:rPr>
                <w:sz w:val="24"/>
                <w:szCs w:val="24"/>
              </w:rPr>
              <w:t xml:space="preserve"> solution (50 mg) and further dilute with 4 mL of LR resulting in a concentration of 10 mg/mL</w:t>
            </w:r>
          </w:p>
          <w:p w14:paraId="0F0E0801" w14:textId="77777777" w:rsidR="00427803" w:rsidRPr="005B7014" w:rsidRDefault="00427803" w:rsidP="005B7014">
            <w:pPr>
              <w:pStyle w:val="ListParagraph"/>
              <w:numPr>
                <w:ilvl w:val="0"/>
                <w:numId w:val="23"/>
              </w:numPr>
              <w:ind w:left="702"/>
              <w:cnfStyle w:val="000000100000" w:firstRow="0" w:lastRow="0" w:firstColumn="0" w:lastColumn="0" w:oddVBand="0" w:evenVBand="0" w:oddHBand="1" w:evenHBand="0" w:firstRowFirstColumn="0" w:firstRowLastColumn="0" w:lastRowFirstColumn="0" w:lastRowLastColumn="0"/>
              <w:rPr>
                <w:sz w:val="24"/>
                <w:szCs w:val="24"/>
              </w:rPr>
            </w:pPr>
            <w:r w:rsidRPr="005B7014">
              <w:rPr>
                <w:sz w:val="24"/>
                <w:szCs w:val="24"/>
              </w:rPr>
              <w:t>Draw up 1.5 mL of 10,000 U</w:t>
            </w:r>
            <w:r w:rsidR="00961AC3">
              <w:rPr>
                <w:sz w:val="24"/>
                <w:szCs w:val="24"/>
              </w:rPr>
              <w:t>nits</w:t>
            </w:r>
            <w:r w:rsidRPr="005B7014">
              <w:rPr>
                <w:sz w:val="24"/>
                <w:szCs w:val="24"/>
              </w:rPr>
              <w:t xml:space="preserve">/mL heparin into a syringe and mix with 1.5 mL of </w:t>
            </w:r>
            <w:proofErr w:type="spellStart"/>
            <w:r w:rsidRPr="005B7014">
              <w:rPr>
                <w:sz w:val="24"/>
                <w:szCs w:val="24"/>
              </w:rPr>
              <w:t>daptomycin</w:t>
            </w:r>
            <w:proofErr w:type="spellEnd"/>
            <w:r w:rsidRPr="005B7014">
              <w:rPr>
                <w:sz w:val="24"/>
                <w:szCs w:val="24"/>
              </w:rPr>
              <w:t xml:space="preserve"> solution (15 mg </w:t>
            </w:r>
            <w:proofErr w:type="spellStart"/>
            <w:r w:rsidRPr="005B7014">
              <w:rPr>
                <w:sz w:val="24"/>
                <w:szCs w:val="24"/>
              </w:rPr>
              <w:t>daptomycin</w:t>
            </w:r>
            <w:proofErr w:type="spellEnd"/>
            <w:r w:rsidRPr="005B7014">
              <w:rPr>
                <w:sz w:val="24"/>
                <w:szCs w:val="24"/>
              </w:rPr>
              <w:t>) for 3 mL of final solution</w:t>
            </w:r>
          </w:p>
          <w:p w14:paraId="0F0E0802" w14:textId="77777777" w:rsidR="00427803" w:rsidRPr="007675E9" w:rsidRDefault="00427803" w:rsidP="00FD3516">
            <w:pPr>
              <w:pStyle w:val="ListParagraph"/>
              <w:cnfStyle w:val="000000100000" w:firstRow="0" w:lastRow="0" w:firstColumn="0" w:lastColumn="0" w:oddVBand="0" w:evenVBand="0" w:oddHBand="1" w:evenHBand="0" w:firstRowFirstColumn="0" w:firstRowLastColumn="0" w:lastRowFirstColumn="0" w:lastRowLastColumn="0"/>
              <w:rPr>
                <w:sz w:val="12"/>
                <w:szCs w:val="24"/>
              </w:rPr>
            </w:pPr>
          </w:p>
        </w:tc>
      </w:tr>
      <w:tr w:rsidR="00427803" w14:paraId="0F0E0806" w14:textId="77777777" w:rsidTr="00FD3516">
        <w:trPr>
          <w:trHeight w:val="313"/>
        </w:trPr>
        <w:tc>
          <w:tcPr>
            <w:cnfStyle w:val="001000000000" w:firstRow="0" w:lastRow="0" w:firstColumn="1" w:lastColumn="0" w:oddVBand="0" w:evenVBand="0" w:oddHBand="0" w:evenHBand="0" w:firstRowFirstColumn="0" w:firstRowLastColumn="0" w:lastRowFirstColumn="0" w:lastRowLastColumn="0"/>
            <w:tcW w:w="9696" w:type="dxa"/>
            <w:gridSpan w:val="2"/>
          </w:tcPr>
          <w:p w14:paraId="0F0E0804" w14:textId="77777777" w:rsidR="006C74F4" w:rsidRDefault="006C74F4" w:rsidP="00FD3516">
            <w:pPr>
              <w:rPr>
                <w:sz w:val="24"/>
                <w:szCs w:val="24"/>
              </w:rPr>
            </w:pPr>
            <w:r>
              <w:rPr>
                <w:sz w:val="24"/>
                <w:szCs w:val="24"/>
              </w:rPr>
              <w:t>*</w:t>
            </w:r>
            <w:r w:rsidR="009B0CCB">
              <w:rPr>
                <w:sz w:val="24"/>
                <w:szCs w:val="24"/>
              </w:rPr>
              <w:t>*</w:t>
            </w:r>
            <w:r w:rsidRPr="00427803">
              <w:rPr>
                <w:sz w:val="24"/>
                <w:szCs w:val="24"/>
              </w:rPr>
              <w:t xml:space="preserve">Infectious diseases consult required prior to use </w:t>
            </w:r>
          </w:p>
          <w:p w14:paraId="0F0E0805" w14:textId="77777777" w:rsidR="00427803" w:rsidRPr="009B0CCB" w:rsidRDefault="00427803" w:rsidP="00FD3516">
            <w:pPr>
              <w:rPr>
                <w:sz w:val="24"/>
                <w:szCs w:val="24"/>
              </w:rPr>
            </w:pPr>
            <w:r>
              <w:rPr>
                <w:sz w:val="24"/>
                <w:szCs w:val="24"/>
              </w:rPr>
              <w:t xml:space="preserve">For patients with a contraindication to heparin use, normal saline (NS) can be used in place of heparin at equivalent </w:t>
            </w:r>
            <w:r w:rsidRPr="009B6AC6">
              <w:rPr>
                <w:sz w:val="24"/>
                <w:szCs w:val="24"/>
              </w:rPr>
              <w:t xml:space="preserve">volumes except </w:t>
            </w:r>
            <w:r>
              <w:rPr>
                <w:sz w:val="24"/>
                <w:szCs w:val="24"/>
              </w:rPr>
              <w:t xml:space="preserve">for </w:t>
            </w:r>
            <w:proofErr w:type="spellStart"/>
            <w:r w:rsidRPr="009B6AC6">
              <w:rPr>
                <w:sz w:val="24"/>
                <w:szCs w:val="24"/>
              </w:rPr>
              <w:t>daptomycin</w:t>
            </w:r>
            <w:proofErr w:type="spellEnd"/>
            <w:r w:rsidRPr="009B6AC6">
              <w:rPr>
                <w:sz w:val="24"/>
                <w:szCs w:val="24"/>
              </w:rPr>
              <w:t>, in which case lactated Ringer’s solution should be used</w:t>
            </w:r>
            <w:r w:rsidR="009B0CCB">
              <w:rPr>
                <w:sz w:val="24"/>
                <w:szCs w:val="24"/>
              </w:rPr>
              <w:t xml:space="preserve"> (see Sections II and III)</w:t>
            </w:r>
            <w:r>
              <w:rPr>
                <w:sz w:val="24"/>
                <w:szCs w:val="24"/>
              </w:rPr>
              <w:t>.</w:t>
            </w:r>
          </w:p>
        </w:tc>
      </w:tr>
    </w:tbl>
    <w:p w14:paraId="0F0E0807" w14:textId="77777777" w:rsidR="00342A1A" w:rsidRDefault="00342A1A" w:rsidP="007177EC">
      <w:pPr>
        <w:rPr>
          <w:sz w:val="36"/>
          <w:szCs w:val="24"/>
        </w:rPr>
      </w:pPr>
    </w:p>
    <w:p w14:paraId="0F0E0808" w14:textId="77777777" w:rsidR="00342A1A" w:rsidRDefault="00342A1A" w:rsidP="007177EC">
      <w:pPr>
        <w:rPr>
          <w:sz w:val="36"/>
          <w:szCs w:val="24"/>
        </w:rPr>
      </w:pPr>
    </w:p>
    <w:p w14:paraId="0F0E0809" w14:textId="77777777" w:rsidR="00342A1A" w:rsidRDefault="00342A1A" w:rsidP="007177EC">
      <w:pPr>
        <w:rPr>
          <w:sz w:val="36"/>
          <w:szCs w:val="24"/>
        </w:rPr>
      </w:pPr>
    </w:p>
    <w:p w14:paraId="0F0E080A" w14:textId="77777777" w:rsidR="00342A1A" w:rsidRDefault="00342A1A" w:rsidP="007177EC">
      <w:pPr>
        <w:rPr>
          <w:sz w:val="36"/>
          <w:szCs w:val="24"/>
        </w:rPr>
      </w:pPr>
    </w:p>
    <w:p w14:paraId="0F0E080B" w14:textId="77777777" w:rsidR="00342A1A" w:rsidRDefault="00342A1A" w:rsidP="007177EC">
      <w:pPr>
        <w:rPr>
          <w:sz w:val="36"/>
          <w:szCs w:val="24"/>
        </w:rPr>
      </w:pPr>
    </w:p>
    <w:p w14:paraId="0F0E080C" w14:textId="77777777" w:rsidR="00FD3516" w:rsidRDefault="00FD3516" w:rsidP="007177EC">
      <w:pPr>
        <w:rPr>
          <w:b/>
          <w:sz w:val="24"/>
          <w:szCs w:val="24"/>
        </w:rPr>
      </w:pPr>
    </w:p>
    <w:p w14:paraId="0F0E080D" w14:textId="77777777" w:rsidR="00FD3516" w:rsidRDefault="00FD3516" w:rsidP="007177EC">
      <w:pPr>
        <w:rPr>
          <w:sz w:val="36"/>
          <w:szCs w:val="24"/>
        </w:rPr>
      </w:pPr>
    </w:p>
    <w:tbl>
      <w:tblPr>
        <w:tblStyle w:val="TableGrid"/>
        <w:tblpPr w:leftFromText="180" w:rightFromText="180" w:vertAnchor="text" w:horzAnchor="margin" w:tblpY="-139"/>
        <w:tblW w:w="0" w:type="auto"/>
        <w:tblLook w:val="04A0" w:firstRow="1" w:lastRow="0" w:firstColumn="1" w:lastColumn="0" w:noHBand="0" w:noVBand="1"/>
      </w:tblPr>
      <w:tblGrid>
        <w:gridCol w:w="2394"/>
        <w:gridCol w:w="2034"/>
        <w:gridCol w:w="360"/>
        <w:gridCol w:w="2394"/>
        <w:gridCol w:w="126"/>
        <w:gridCol w:w="2268"/>
      </w:tblGrid>
      <w:tr w:rsidR="00737438" w14:paraId="0F0E080F" w14:textId="77777777" w:rsidTr="00F4420B">
        <w:tc>
          <w:tcPr>
            <w:tcW w:w="9576" w:type="dxa"/>
            <w:gridSpan w:val="6"/>
          </w:tcPr>
          <w:p w14:paraId="0F0E080E" w14:textId="77777777" w:rsidR="00737438" w:rsidRPr="00737438" w:rsidRDefault="00737438" w:rsidP="00FD3516">
            <w:pPr>
              <w:pStyle w:val="ListBullet"/>
              <w:numPr>
                <w:ilvl w:val="0"/>
                <w:numId w:val="0"/>
              </w:numPr>
              <w:jc w:val="center"/>
              <w:rPr>
                <w:b/>
              </w:rPr>
            </w:pPr>
            <w:r>
              <w:rPr>
                <w:b/>
              </w:rPr>
              <w:lastRenderedPageBreak/>
              <w:t>Appendix A</w:t>
            </w:r>
          </w:p>
        </w:tc>
      </w:tr>
      <w:tr w:rsidR="00FD3516" w14:paraId="0F0E0814" w14:textId="77777777" w:rsidTr="00FD3516">
        <w:tc>
          <w:tcPr>
            <w:tcW w:w="2394" w:type="dxa"/>
          </w:tcPr>
          <w:p w14:paraId="0F0E0810" w14:textId="77777777" w:rsidR="00FD3516" w:rsidRPr="007177EC" w:rsidRDefault="00FD3516" w:rsidP="00FD3516">
            <w:pPr>
              <w:jc w:val="center"/>
              <w:rPr>
                <w:b/>
                <w:sz w:val="24"/>
                <w:szCs w:val="24"/>
              </w:rPr>
            </w:pPr>
            <w:r w:rsidRPr="007177EC">
              <w:rPr>
                <w:b/>
                <w:sz w:val="24"/>
                <w:szCs w:val="24"/>
              </w:rPr>
              <w:t>Lumens</w:t>
            </w:r>
          </w:p>
        </w:tc>
        <w:tc>
          <w:tcPr>
            <w:tcW w:w="2034" w:type="dxa"/>
          </w:tcPr>
          <w:p w14:paraId="0F0E0811" w14:textId="77777777" w:rsidR="00FD3516" w:rsidRPr="007177EC" w:rsidRDefault="00FD3516" w:rsidP="00FD3516">
            <w:pPr>
              <w:jc w:val="center"/>
              <w:rPr>
                <w:b/>
                <w:sz w:val="24"/>
                <w:szCs w:val="24"/>
              </w:rPr>
            </w:pPr>
            <w:r w:rsidRPr="007177EC">
              <w:rPr>
                <w:b/>
                <w:sz w:val="24"/>
                <w:szCs w:val="24"/>
              </w:rPr>
              <w:t>Catheter Size</w:t>
            </w:r>
          </w:p>
        </w:tc>
        <w:tc>
          <w:tcPr>
            <w:tcW w:w="2880" w:type="dxa"/>
            <w:gridSpan w:val="3"/>
          </w:tcPr>
          <w:p w14:paraId="0F0E0812" w14:textId="77777777" w:rsidR="00FD3516" w:rsidRPr="007177EC" w:rsidRDefault="00FD3516" w:rsidP="00FD3516">
            <w:pPr>
              <w:jc w:val="center"/>
              <w:rPr>
                <w:b/>
                <w:sz w:val="24"/>
                <w:szCs w:val="24"/>
              </w:rPr>
            </w:pPr>
            <w:r w:rsidRPr="007177EC">
              <w:rPr>
                <w:b/>
                <w:sz w:val="24"/>
                <w:szCs w:val="24"/>
              </w:rPr>
              <w:t>Priming Volumes</w:t>
            </w:r>
          </w:p>
        </w:tc>
        <w:tc>
          <w:tcPr>
            <w:tcW w:w="2268" w:type="dxa"/>
          </w:tcPr>
          <w:p w14:paraId="0F0E0813" w14:textId="77777777" w:rsidR="00FD3516" w:rsidRPr="007177EC" w:rsidRDefault="00FD3516" w:rsidP="00FD3516">
            <w:pPr>
              <w:pStyle w:val="ListBullet"/>
              <w:numPr>
                <w:ilvl w:val="0"/>
                <w:numId w:val="0"/>
              </w:numPr>
              <w:jc w:val="center"/>
              <w:rPr>
                <w:b/>
              </w:rPr>
            </w:pPr>
            <w:r w:rsidRPr="007177EC">
              <w:rPr>
                <w:b/>
              </w:rPr>
              <w:t>Lumen Gauge Size</w:t>
            </w:r>
          </w:p>
        </w:tc>
      </w:tr>
      <w:tr w:rsidR="00FD3516" w14:paraId="0F0E0816" w14:textId="77777777" w:rsidTr="00FD3516">
        <w:tc>
          <w:tcPr>
            <w:tcW w:w="9576" w:type="dxa"/>
            <w:gridSpan w:val="6"/>
          </w:tcPr>
          <w:p w14:paraId="0F0E0815" w14:textId="77777777" w:rsidR="00FD3516" w:rsidRPr="008A7A41" w:rsidRDefault="00FD3516" w:rsidP="00FD3516">
            <w:pPr>
              <w:rPr>
                <w:b/>
                <w:sz w:val="24"/>
                <w:szCs w:val="24"/>
              </w:rPr>
            </w:pPr>
            <w:proofErr w:type="spellStart"/>
            <w:r w:rsidRPr="008A7A41">
              <w:rPr>
                <w:b/>
                <w:sz w:val="24"/>
                <w:szCs w:val="24"/>
              </w:rPr>
              <w:t>PowerPICC</w:t>
            </w:r>
            <w:proofErr w:type="spellEnd"/>
            <w:r w:rsidRPr="008A7A41">
              <w:rPr>
                <w:b/>
                <w:sz w:val="24"/>
                <w:szCs w:val="24"/>
              </w:rPr>
              <w:t>® Power Injection PICCs</w:t>
            </w:r>
          </w:p>
        </w:tc>
      </w:tr>
      <w:tr w:rsidR="00FD3516" w14:paraId="0F0E081B" w14:textId="77777777" w:rsidTr="00FD3516">
        <w:tc>
          <w:tcPr>
            <w:tcW w:w="2394" w:type="dxa"/>
          </w:tcPr>
          <w:p w14:paraId="0F0E0817" w14:textId="77777777" w:rsidR="00FD3516" w:rsidRPr="007177EC" w:rsidRDefault="00FD3516" w:rsidP="00FD3516">
            <w:pPr>
              <w:rPr>
                <w:sz w:val="24"/>
                <w:szCs w:val="24"/>
              </w:rPr>
            </w:pPr>
            <w:r>
              <w:rPr>
                <w:sz w:val="24"/>
                <w:szCs w:val="24"/>
              </w:rPr>
              <w:t>Single</w:t>
            </w:r>
          </w:p>
        </w:tc>
        <w:tc>
          <w:tcPr>
            <w:tcW w:w="2034" w:type="dxa"/>
          </w:tcPr>
          <w:p w14:paraId="0F0E0818" w14:textId="77777777" w:rsidR="00FD3516" w:rsidRPr="007177EC" w:rsidRDefault="00FD3516" w:rsidP="00FD3516">
            <w:pPr>
              <w:rPr>
                <w:sz w:val="24"/>
                <w:szCs w:val="24"/>
              </w:rPr>
            </w:pPr>
            <w:r>
              <w:rPr>
                <w:sz w:val="24"/>
                <w:szCs w:val="24"/>
              </w:rPr>
              <w:t>4 Fr</w:t>
            </w:r>
          </w:p>
        </w:tc>
        <w:tc>
          <w:tcPr>
            <w:tcW w:w="2880" w:type="dxa"/>
            <w:gridSpan w:val="3"/>
          </w:tcPr>
          <w:p w14:paraId="0F0E0819" w14:textId="77777777" w:rsidR="00FD3516" w:rsidRPr="007177EC" w:rsidRDefault="00FD3516" w:rsidP="00FD3516">
            <w:pPr>
              <w:rPr>
                <w:sz w:val="24"/>
                <w:szCs w:val="24"/>
              </w:rPr>
            </w:pPr>
            <w:r>
              <w:rPr>
                <w:sz w:val="24"/>
                <w:szCs w:val="24"/>
              </w:rPr>
              <w:t>0.67 mL</w:t>
            </w:r>
          </w:p>
        </w:tc>
        <w:tc>
          <w:tcPr>
            <w:tcW w:w="2268" w:type="dxa"/>
          </w:tcPr>
          <w:p w14:paraId="0F0E081A" w14:textId="77777777" w:rsidR="00FD3516" w:rsidRPr="007177EC" w:rsidRDefault="00FD3516" w:rsidP="00FD3516">
            <w:pPr>
              <w:rPr>
                <w:sz w:val="24"/>
                <w:szCs w:val="24"/>
              </w:rPr>
            </w:pPr>
            <w:r>
              <w:rPr>
                <w:sz w:val="24"/>
                <w:szCs w:val="24"/>
              </w:rPr>
              <w:t>18 Ga</w:t>
            </w:r>
          </w:p>
        </w:tc>
      </w:tr>
      <w:tr w:rsidR="00FD3516" w14:paraId="0F0E0820" w14:textId="77777777" w:rsidTr="00FD3516">
        <w:tc>
          <w:tcPr>
            <w:tcW w:w="2394" w:type="dxa"/>
          </w:tcPr>
          <w:p w14:paraId="0F0E081C" w14:textId="77777777" w:rsidR="00FD3516" w:rsidRPr="007177EC" w:rsidRDefault="00FD3516" w:rsidP="00FD3516">
            <w:pPr>
              <w:rPr>
                <w:sz w:val="24"/>
                <w:szCs w:val="24"/>
              </w:rPr>
            </w:pPr>
            <w:r>
              <w:rPr>
                <w:sz w:val="24"/>
                <w:szCs w:val="24"/>
              </w:rPr>
              <w:t>Single</w:t>
            </w:r>
          </w:p>
        </w:tc>
        <w:tc>
          <w:tcPr>
            <w:tcW w:w="2034" w:type="dxa"/>
          </w:tcPr>
          <w:p w14:paraId="0F0E081D" w14:textId="77777777" w:rsidR="00FD3516" w:rsidRPr="007177EC" w:rsidRDefault="00FD3516" w:rsidP="00FD3516">
            <w:pPr>
              <w:rPr>
                <w:sz w:val="24"/>
                <w:szCs w:val="24"/>
              </w:rPr>
            </w:pPr>
            <w:r>
              <w:rPr>
                <w:sz w:val="24"/>
                <w:szCs w:val="24"/>
              </w:rPr>
              <w:t>5 Fr</w:t>
            </w:r>
          </w:p>
        </w:tc>
        <w:tc>
          <w:tcPr>
            <w:tcW w:w="2880" w:type="dxa"/>
            <w:gridSpan w:val="3"/>
          </w:tcPr>
          <w:p w14:paraId="0F0E081E" w14:textId="77777777" w:rsidR="00FD3516" w:rsidRPr="007177EC" w:rsidRDefault="00FD3516" w:rsidP="00FD3516">
            <w:pPr>
              <w:rPr>
                <w:sz w:val="24"/>
                <w:szCs w:val="24"/>
              </w:rPr>
            </w:pPr>
            <w:r>
              <w:rPr>
                <w:sz w:val="24"/>
                <w:szCs w:val="24"/>
              </w:rPr>
              <w:t>0.66 mL</w:t>
            </w:r>
          </w:p>
        </w:tc>
        <w:tc>
          <w:tcPr>
            <w:tcW w:w="2268" w:type="dxa"/>
          </w:tcPr>
          <w:p w14:paraId="0F0E081F" w14:textId="77777777" w:rsidR="00FD3516" w:rsidRPr="007177EC" w:rsidRDefault="00FD3516" w:rsidP="00FD3516">
            <w:pPr>
              <w:rPr>
                <w:sz w:val="24"/>
                <w:szCs w:val="24"/>
              </w:rPr>
            </w:pPr>
            <w:r>
              <w:rPr>
                <w:sz w:val="24"/>
                <w:szCs w:val="24"/>
              </w:rPr>
              <w:t>18 Ga</w:t>
            </w:r>
          </w:p>
        </w:tc>
      </w:tr>
      <w:tr w:rsidR="00FD3516" w14:paraId="0F0E0825" w14:textId="77777777" w:rsidTr="00FD3516">
        <w:tc>
          <w:tcPr>
            <w:tcW w:w="2394" w:type="dxa"/>
          </w:tcPr>
          <w:p w14:paraId="0F0E0821" w14:textId="77777777" w:rsidR="00FD3516" w:rsidRPr="007177EC" w:rsidRDefault="00FD3516" w:rsidP="00FD3516">
            <w:pPr>
              <w:rPr>
                <w:sz w:val="24"/>
                <w:szCs w:val="24"/>
              </w:rPr>
            </w:pPr>
            <w:r>
              <w:rPr>
                <w:sz w:val="24"/>
                <w:szCs w:val="24"/>
              </w:rPr>
              <w:t>Dual</w:t>
            </w:r>
          </w:p>
        </w:tc>
        <w:tc>
          <w:tcPr>
            <w:tcW w:w="2034" w:type="dxa"/>
          </w:tcPr>
          <w:p w14:paraId="0F0E0822" w14:textId="77777777" w:rsidR="00FD3516" w:rsidRPr="007177EC" w:rsidRDefault="00FD3516" w:rsidP="00FD3516">
            <w:pPr>
              <w:rPr>
                <w:sz w:val="24"/>
                <w:szCs w:val="24"/>
              </w:rPr>
            </w:pPr>
            <w:r>
              <w:rPr>
                <w:sz w:val="24"/>
                <w:szCs w:val="24"/>
              </w:rPr>
              <w:t>5 Fr</w:t>
            </w:r>
          </w:p>
        </w:tc>
        <w:tc>
          <w:tcPr>
            <w:tcW w:w="2880" w:type="dxa"/>
            <w:gridSpan w:val="3"/>
          </w:tcPr>
          <w:p w14:paraId="0F0E0823" w14:textId="77777777" w:rsidR="00FD3516" w:rsidRPr="007177EC" w:rsidRDefault="00FD3516" w:rsidP="00FD3516">
            <w:pPr>
              <w:rPr>
                <w:sz w:val="24"/>
                <w:szCs w:val="24"/>
              </w:rPr>
            </w:pPr>
            <w:r>
              <w:rPr>
                <w:sz w:val="24"/>
                <w:szCs w:val="24"/>
              </w:rPr>
              <w:t>0.57 mL/0.57 mL</w:t>
            </w:r>
          </w:p>
        </w:tc>
        <w:tc>
          <w:tcPr>
            <w:tcW w:w="2268" w:type="dxa"/>
          </w:tcPr>
          <w:p w14:paraId="0F0E0824" w14:textId="77777777" w:rsidR="00FD3516" w:rsidRPr="007177EC" w:rsidRDefault="00FD3516" w:rsidP="00FD3516">
            <w:pPr>
              <w:rPr>
                <w:sz w:val="24"/>
                <w:szCs w:val="24"/>
              </w:rPr>
            </w:pPr>
            <w:r>
              <w:rPr>
                <w:sz w:val="24"/>
                <w:szCs w:val="24"/>
              </w:rPr>
              <w:t>18 Ga/18 Ga</w:t>
            </w:r>
          </w:p>
        </w:tc>
      </w:tr>
      <w:tr w:rsidR="00FD3516" w14:paraId="0F0E082A" w14:textId="77777777" w:rsidTr="00FD3516">
        <w:tc>
          <w:tcPr>
            <w:tcW w:w="2394" w:type="dxa"/>
          </w:tcPr>
          <w:p w14:paraId="0F0E0826" w14:textId="77777777" w:rsidR="00FD3516" w:rsidRPr="007177EC" w:rsidRDefault="00FD3516" w:rsidP="00FD3516">
            <w:pPr>
              <w:rPr>
                <w:sz w:val="24"/>
                <w:szCs w:val="24"/>
              </w:rPr>
            </w:pPr>
            <w:r>
              <w:rPr>
                <w:sz w:val="24"/>
                <w:szCs w:val="24"/>
              </w:rPr>
              <w:t>Triple</w:t>
            </w:r>
          </w:p>
        </w:tc>
        <w:tc>
          <w:tcPr>
            <w:tcW w:w="2034" w:type="dxa"/>
          </w:tcPr>
          <w:p w14:paraId="0F0E0827" w14:textId="77777777" w:rsidR="00FD3516" w:rsidRPr="007177EC" w:rsidRDefault="00FD3516" w:rsidP="00FD3516">
            <w:pPr>
              <w:rPr>
                <w:sz w:val="24"/>
                <w:szCs w:val="24"/>
              </w:rPr>
            </w:pPr>
            <w:r>
              <w:rPr>
                <w:sz w:val="24"/>
                <w:szCs w:val="24"/>
              </w:rPr>
              <w:t>5 Fr</w:t>
            </w:r>
          </w:p>
        </w:tc>
        <w:tc>
          <w:tcPr>
            <w:tcW w:w="2880" w:type="dxa"/>
            <w:gridSpan w:val="3"/>
          </w:tcPr>
          <w:p w14:paraId="0F0E0828" w14:textId="77777777" w:rsidR="00FD3516" w:rsidRPr="007177EC" w:rsidRDefault="00FD3516" w:rsidP="00FD3516">
            <w:pPr>
              <w:rPr>
                <w:sz w:val="24"/>
                <w:szCs w:val="24"/>
              </w:rPr>
            </w:pPr>
            <w:r>
              <w:rPr>
                <w:sz w:val="24"/>
                <w:szCs w:val="24"/>
              </w:rPr>
              <w:t>0.68 mL/0.44 mL/0.44 mL</w:t>
            </w:r>
          </w:p>
        </w:tc>
        <w:tc>
          <w:tcPr>
            <w:tcW w:w="2268" w:type="dxa"/>
          </w:tcPr>
          <w:p w14:paraId="0F0E0829" w14:textId="77777777" w:rsidR="00FD3516" w:rsidRPr="007177EC" w:rsidRDefault="00FD3516" w:rsidP="00FD3516">
            <w:pPr>
              <w:rPr>
                <w:sz w:val="24"/>
                <w:szCs w:val="24"/>
              </w:rPr>
            </w:pPr>
            <w:r>
              <w:rPr>
                <w:sz w:val="24"/>
                <w:szCs w:val="24"/>
              </w:rPr>
              <w:t>18 Ga/19 Ga/19 Ga</w:t>
            </w:r>
          </w:p>
        </w:tc>
      </w:tr>
      <w:tr w:rsidR="00FD3516" w14:paraId="0F0E082F" w14:textId="77777777" w:rsidTr="00FD3516">
        <w:tc>
          <w:tcPr>
            <w:tcW w:w="2394" w:type="dxa"/>
          </w:tcPr>
          <w:p w14:paraId="0F0E082B" w14:textId="77777777" w:rsidR="00FD3516" w:rsidRPr="007177EC" w:rsidRDefault="00FD3516" w:rsidP="00FD3516">
            <w:pPr>
              <w:rPr>
                <w:sz w:val="24"/>
                <w:szCs w:val="24"/>
              </w:rPr>
            </w:pPr>
            <w:r>
              <w:rPr>
                <w:sz w:val="24"/>
                <w:szCs w:val="24"/>
              </w:rPr>
              <w:t>Dual</w:t>
            </w:r>
          </w:p>
        </w:tc>
        <w:tc>
          <w:tcPr>
            <w:tcW w:w="2034" w:type="dxa"/>
          </w:tcPr>
          <w:p w14:paraId="0F0E082C" w14:textId="77777777" w:rsidR="00FD3516" w:rsidRPr="007177EC" w:rsidRDefault="00FD3516" w:rsidP="00FD3516">
            <w:pPr>
              <w:rPr>
                <w:sz w:val="24"/>
                <w:szCs w:val="24"/>
              </w:rPr>
            </w:pPr>
            <w:r>
              <w:rPr>
                <w:sz w:val="24"/>
                <w:szCs w:val="24"/>
              </w:rPr>
              <w:t>6 Fr</w:t>
            </w:r>
          </w:p>
        </w:tc>
        <w:tc>
          <w:tcPr>
            <w:tcW w:w="2880" w:type="dxa"/>
            <w:gridSpan w:val="3"/>
          </w:tcPr>
          <w:p w14:paraId="0F0E082D" w14:textId="77777777" w:rsidR="00FD3516" w:rsidRPr="007177EC" w:rsidRDefault="00FD3516" w:rsidP="00FD3516">
            <w:pPr>
              <w:rPr>
                <w:sz w:val="24"/>
                <w:szCs w:val="24"/>
              </w:rPr>
            </w:pPr>
            <w:r>
              <w:rPr>
                <w:sz w:val="24"/>
                <w:szCs w:val="24"/>
              </w:rPr>
              <w:t>0.62 mL/0.62 mL</w:t>
            </w:r>
          </w:p>
        </w:tc>
        <w:tc>
          <w:tcPr>
            <w:tcW w:w="2268" w:type="dxa"/>
          </w:tcPr>
          <w:p w14:paraId="0F0E082E" w14:textId="77777777" w:rsidR="00FD3516" w:rsidRPr="007177EC" w:rsidRDefault="00FD3516" w:rsidP="00FD3516">
            <w:pPr>
              <w:rPr>
                <w:sz w:val="24"/>
                <w:szCs w:val="24"/>
              </w:rPr>
            </w:pPr>
            <w:r>
              <w:rPr>
                <w:sz w:val="24"/>
                <w:szCs w:val="24"/>
              </w:rPr>
              <w:t>18 Ga/18 Ga</w:t>
            </w:r>
          </w:p>
        </w:tc>
      </w:tr>
      <w:tr w:rsidR="00FD3516" w14:paraId="0F0E0834" w14:textId="77777777" w:rsidTr="00FD3516">
        <w:tc>
          <w:tcPr>
            <w:tcW w:w="2394" w:type="dxa"/>
          </w:tcPr>
          <w:p w14:paraId="0F0E0830" w14:textId="77777777" w:rsidR="00FD3516" w:rsidRPr="007177EC" w:rsidRDefault="00FD3516" w:rsidP="00FD3516">
            <w:pPr>
              <w:rPr>
                <w:sz w:val="24"/>
                <w:szCs w:val="24"/>
              </w:rPr>
            </w:pPr>
            <w:r>
              <w:rPr>
                <w:sz w:val="24"/>
                <w:szCs w:val="24"/>
              </w:rPr>
              <w:t>Triple</w:t>
            </w:r>
          </w:p>
        </w:tc>
        <w:tc>
          <w:tcPr>
            <w:tcW w:w="2034" w:type="dxa"/>
          </w:tcPr>
          <w:p w14:paraId="0F0E0831" w14:textId="77777777" w:rsidR="00FD3516" w:rsidRPr="007177EC" w:rsidRDefault="00FD3516" w:rsidP="00FD3516">
            <w:pPr>
              <w:rPr>
                <w:sz w:val="24"/>
                <w:szCs w:val="24"/>
              </w:rPr>
            </w:pPr>
            <w:r>
              <w:rPr>
                <w:sz w:val="24"/>
                <w:szCs w:val="24"/>
              </w:rPr>
              <w:t>6 Fr</w:t>
            </w:r>
          </w:p>
        </w:tc>
        <w:tc>
          <w:tcPr>
            <w:tcW w:w="2880" w:type="dxa"/>
            <w:gridSpan w:val="3"/>
          </w:tcPr>
          <w:p w14:paraId="0F0E0832" w14:textId="77777777" w:rsidR="00FD3516" w:rsidRPr="007177EC" w:rsidRDefault="00FD3516" w:rsidP="00FD3516">
            <w:pPr>
              <w:rPr>
                <w:sz w:val="24"/>
                <w:szCs w:val="24"/>
              </w:rPr>
            </w:pPr>
            <w:r>
              <w:rPr>
                <w:sz w:val="24"/>
                <w:szCs w:val="24"/>
              </w:rPr>
              <w:t>0.76 mL/0.47 mL/0.47 mL</w:t>
            </w:r>
          </w:p>
        </w:tc>
        <w:tc>
          <w:tcPr>
            <w:tcW w:w="2268" w:type="dxa"/>
          </w:tcPr>
          <w:p w14:paraId="0F0E0833" w14:textId="77777777" w:rsidR="00FD3516" w:rsidRPr="007177EC" w:rsidRDefault="00FD3516" w:rsidP="00FD3516">
            <w:pPr>
              <w:rPr>
                <w:sz w:val="24"/>
                <w:szCs w:val="24"/>
              </w:rPr>
            </w:pPr>
            <w:r>
              <w:rPr>
                <w:sz w:val="24"/>
                <w:szCs w:val="24"/>
              </w:rPr>
              <w:t>17 Ga/19 Ga/19 Ga</w:t>
            </w:r>
          </w:p>
        </w:tc>
      </w:tr>
      <w:tr w:rsidR="00FD3516" w14:paraId="0F0E0836" w14:textId="77777777" w:rsidTr="00FD3516">
        <w:trPr>
          <w:trHeight w:val="30"/>
        </w:trPr>
        <w:tc>
          <w:tcPr>
            <w:tcW w:w="9576" w:type="dxa"/>
            <w:gridSpan w:val="6"/>
          </w:tcPr>
          <w:p w14:paraId="0F0E0835" w14:textId="77777777" w:rsidR="00FD3516" w:rsidRPr="008A7A41" w:rsidRDefault="00FD3516" w:rsidP="00FD3516">
            <w:pPr>
              <w:rPr>
                <w:b/>
                <w:sz w:val="24"/>
                <w:szCs w:val="24"/>
              </w:rPr>
            </w:pPr>
            <w:proofErr w:type="spellStart"/>
            <w:r w:rsidRPr="008A7A41">
              <w:rPr>
                <w:b/>
                <w:sz w:val="24"/>
                <w:szCs w:val="24"/>
              </w:rPr>
              <w:t>PowerPICC</w:t>
            </w:r>
            <w:proofErr w:type="spellEnd"/>
            <w:r w:rsidRPr="008A7A41">
              <w:rPr>
                <w:b/>
                <w:sz w:val="24"/>
                <w:szCs w:val="24"/>
              </w:rPr>
              <w:t>® SV Nursing Power Injection PICCs</w:t>
            </w:r>
          </w:p>
        </w:tc>
      </w:tr>
      <w:tr w:rsidR="00FD3516" w14:paraId="0F0E083B" w14:textId="77777777" w:rsidTr="00FD3516">
        <w:trPr>
          <w:trHeight w:val="30"/>
        </w:trPr>
        <w:tc>
          <w:tcPr>
            <w:tcW w:w="2394" w:type="dxa"/>
          </w:tcPr>
          <w:p w14:paraId="0F0E0837" w14:textId="77777777" w:rsidR="00FD3516" w:rsidRDefault="00FD3516" w:rsidP="00FD3516">
            <w:pPr>
              <w:rPr>
                <w:sz w:val="24"/>
                <w:szCs w:val="24"/>
              </w:rPr>
            </w:pPr>
            <w:r>
              <w:rPr>
                <w:sz w:val="24"/>
                <w:szCs w:val="24"/>
              </w:rPr>
              <w:t>Single</w:t>
            </w:r>
          </w:p>
        </w:tc>
        <w:tc>
          <w:tcPr>
            <w:tcW w:w="2034" w:type="dxa"/>
          </w:tcPr>
          <w:p w14:paraId="0F0E0838" w14:textId="77777777" w:rsidR="00FD3516" w:rsidRDefault="00FD3516" w:rsidP="00FD3516">
            <w:pPr>
              <w:rPr>
                <w:sz w:val="24"/>
                <w:szCs w:val="24"/>
              </w:rPr>
            </w:pPr>
            <w:r>
              <w:rPr>
                <w:sz w:val="24"/>
                <w:szCs w:val="24"/>
              </w:rPr>
              <w:t>3 Fr</w:t>
            </w:r>
          </w:p>
        </w:tc>
        <w:tc>
          <w:tcPr>
            <w:tcW w:w="2880" w:type="dxa"/>
            <w:gridSpan w:val="3"/>
          </w:tcPr>
          <w:p w14:paraId="0F0E0839" w14:textId="77777777" w:rsidR="00FD3516" w:rsidRDefault="00FD3516" w:rsidP="00FD3516">
            <w:pPr>
              <w:rPr>
                <w:sz w:val="24"/>
                <w:szCs w:val="24"/>
              </w:rPr>
            </w:pPr>
            <w:r>
              <w:rPr>
                <w:sz w:val="24"/>
                <w:szCs w:val="24"/>
              </w:rPr>
              <w:t>0.37 mL</w:t>
            </w:r>
          </w:p>
        </w:tc>
        <w:tc>
          <w:tcPr>
            <w:tcW w:w="2268" w:type="dxa"/>
          </w:tcPr>
          <w:p w14:paraId="0F0E083A" w14:textId="77777777" w:rsidR="00FD3516" w:rsidRDefault="00FD3516" w:rsidP="00FD3516">
            <w:pPr>
              <w:rPr>
                <w:sz w:val="24"/>
                <w:szCs w:val="24"/>
              </w:rPr>
            </w:pPr>
            <w:r>
              <w:rPr>
                <w:sz w:val="24"/>
                <w:szCs w:val="24"/>
              </w:rPr>
              <w:t>20 Ga</w:t>
            </w:r>
          </w:p>
        </w:tc>
      </w:tr>
      <w:tr w:rsidR="00FD3516" w14:paraId="0F0E0840" w14:textId="77777777" w:rsidTr="00FD3516">
        <w:trPr>
          <w:trHeight w:val="30"/>
        </w:trPr>
        <w:tc>
          <w:tcPr>
            <w:tcW w:w="2394" w:type="dxa"/>
          </w:tcPr>
          <w:p w14:paraId="0F0E083C" w14:textId="77777777" w:rsidR="00FD3516" w:rsidRDefault="00FD3516" w:rsidP="00FD3516">
            <w:pPr>
              <w:rPr>
                <w:sz w:val="24"/>
                <w:szCs w:val="24"/>
              </w:rPr>
            </w:pPr>
            <w:r>
              <w:rPr>
                <w:sz w:val="24"/>
                <w:szCs w:val="24"/>
              </w:rPr>
              <w:t>Dual</w:t>
            </w:r>
          </w:p>
        </w:tc>
        <w:tc>
          <w:tcPr>
            <w:tcW w:w="2034" w:type="dxa"/>
          </w:tcPr>
          <w:p w14:paraId="0F0E083D" w14:textId="77777777" w:rsidR="00FD3516" w:rsidRDefault="00FD3516" w:rsidP="00FD3516">
            <w:pPr>
              <w:rPr>
                <w:sz w:val="24"/>
                <w:szCs w:val="24"/>
              </w:rPr>
            </w:pPr>
            <w:r>
              <w:rPr>
                <w:sz w:val="24"/>
                <w:szCs w:val="24"/>
              </w:rPr>
              <w:t>4 Fr</w:t>
            </w:r>
          </w:p>
        </w:tc>
        <w:tc>
          <w:tcPr>
            <w:tcW w:w="2880" w:type="dxa"/>
            <w:gridSpan w:val="3"/>
          </w:tcPr>
          <w:p w14:paraId="0F0E083E" w14:textId="77777777" w:rsidR="00FD3516" w:rsidRDefault="00FD3516" w:rsidP="00FD3516">
            <w:pPr>
              <w:rPr>
                <w:sz w:val="24"/>
                <w:szCs w:val="24"/>
              </w:rPr>
            </w:pPr>
            <w:r>
              <w:rPr>
                <w:sz w:val="24"/>
                <w:szCs w:val="24"/>
              </w:rPr>
              <w:t>0.5 mL/0.38 mL</w:t>
            </w:r>
          </w:p>
        </w:tc>
        <w:tc>
          <w:tcPr>
            <w:tcW w:w="2268" w:type="dxa"/>
          </w:tcPr>
          <w:p w14:paraId="0F0E083F" w14:textId="77777777" w:rsidR="00FD3516" w:rsidRDefault="00FD3516" w:rsidP="00FD3516">
            <w:pPr>
              <w:rPr>
                <w:sz w:val="24"/>
                <w:szCs w:val="24"/>
              </w:rPr>
            </w:pPr>
            <w:r>
              <w:rPr>
                <w:sz w:val="24"/>
                <w:szCs w:val="24"/>
              </w:rPr>
              <w:t>19 Ga/21 Ga</w:t>
            </w:r>
          </w:p>
        </w:tc>
      </w:tr>
      <w:tr w:rsidR="00FD3516" w14:paraId="0F0E0842" w14:textId="77777777" w:rsidTr="00FD3516">
        <w:tc>
          <w:tcPr>
            <w:tcW w:w="9576" w:type="dxa"/>
            <w:gridSpan w:val="6"/>
          </w:tcPr>
          <w:p w14:paraId="0F0E0841" w14:textId="77777777" w:rsidR="00FD3516" w:rsidRPr="008A7A41" w:rsidRDefault="00FD3516" w:rsidP="00FD3516">
            <w:pPr>
              <w:rPr>
                <w:b/>
                <w:sz w:val="24"/>
                <w:szCs w:val="24"/>
              </w:rPr>
            </w:pPr>
            <w:r w:rsidRPr="008A7A41">
              <w:rPr>
                <w:b/>
                <w:sz w:val="24"/>
                <w:szCs w:val="24"/>
              </w:rPr>
              <w:t>Bard® Poly Midline</w:t>
            </w:r>
          </w:p>
        </w:tc>
      </w:tr>
      <w:tr w:rsidR="00FD3516" w14:paraId="0F0E0847" w14:textId="77777777" w:rsidTr="00FD3516">
        <w:trPr>
          <w:trHeight w:val="30"/>
        </w:trPr>
        <w:tc>
          <w:tcPr>
            <w:tcW w:w="2394" w:type="dxa"/>
          </w:tcPr>
          <w:p w14:paraId="0F0E0843" w14:textId="77777777" w:rsidR="00FD3516" w:rsidRDefault="00FD3516" w:rsidP="00FD3516">
            <w:pPr>
              <w:rPr>
                <w:sz w:val="24"/>
                <w:szCs w:val="24"/>
              </w:rPr>
            </w:pPr>
            <w:r>
              <w:rPr>
                <w:sz w:val="24"/>
                <w:szCs w:val="24"/>
              </w:rPr>
              <w:t>Single</w:t>
            </w:r>
          </w:p>
        </w:tc>
        <w:tc>
          <w:tcPr>
            <w:tcW w:w="2034" w:type="dxa"/>
          </w:tcPr>
          <w:p w14:paraId="0F0E0844" w14:textId="77777777" w:rsidR="00FD3516" w:rsidRDefault="00FD3516" w:rsidP="00FD3516">
            <w:pPr>
              <w:rPr>
                <w:sz w:val="24"/>
                <w:szCs w:val="24"/>
              </w:rPr>
            </w:pPr>
            <w:r>
              <w:rPr>
                <w:sz w:val="24"/>
                <w:szCs w:val="24"/>
              </w:rPr>
              <w:t>3 Fr</w:t>
            </w:r>
          </w:p>
        </w:tc>
        <w:tc>
          <w:tcPr>
            <w:tcW w:w="2880" w:type="dxa"/>
            <w:gridSpan w:val="3"/>
          </w:tcPr>
          <w:p w14:paraId="0F0E0845" w14:textId="77777777" w:rsidR="00FD3516" w:rsidRDefault="00FD3516" w:rsidP="00FD3516">
            <w:pPr>
              <w:rPr>
                <w:sz w:val="24"/>
                <w:szCs w:val="24"/>
              </w:rPr>
            </w:pPr>
            <w:r>
              <w:rPr>
                <w:sz w:val="24"/>
                <w:szCs w:val="24"/>
              </w:rPr>
              <w:t>0.31 mL</w:t>
            </w:r>
          </w:p>
        </w:tc>
        <w:tc>
          <w:tcPr>
            <w:tcW w:w="2268" w:type="dxa"/>
          </w:tcPr>
          <w:p w14:paraId="0F0E0846" w14:textId="77777777" w:rsidR="00FD3516" w:rsidRDefault="00FD3516" w:rsidP="00FD3516">
            <w:pPr>
              <w:rPr>
                <w:sz w:val="24"/>
                <w:szCs w:val="24"/>
              </w:rPr>
            </w:pPr>
            <w:r>
              <w:rPr>
                <w:sz w:val="24"/>
                <w:szCs w:val="24"/>
              </w:rPr>
              <w:t>20 Ga</w:t>
            </w:r>
          </w:p>
        </w:tc>
      </w:tr>
      <w:tr w:rsidR="00FD3516" w14:paraId="0F0E084C" w14:textId="77777777" w:rsidTr="00FD3516">
        <w:trPr>
          <w:trHeight w:val="30"/>
        </w:trPr>
        <w:tc>
          <w:tcPr>
            <w:tcW w:w="2394" w:type="dxa"/>
          </w:tcPr>
          <w:p w14:paraId="0F0E0848" w14:textId="77777777" w:rsidR="00FD3516" w:rsidRDefault="00FD3516" w:rsidP="00FD3516">
            <w:pPr>
              <w:rPr>
                <w:sz w:val="24"/>
                <w:szCs w:val="24"/>
              </w:rPr>
            </w:pPr>
            <w:r>
              <w:rPr>
                <w:sz w:val="24"/>
                <w:szCs w:val="24"/>
              </w:rPr>
              <w:t>Single</w:t>
            </w:r>
          </w:p>
        </w:tc>
        <w:tc>
          <w:tcPr>
            <w:tcW w:w="2034" w:type="dxa"/>
          </w:tcPr>
          <w:p w14:paraId="0F0E0849" w14:textId="77777777" w:rsidR="00FD3516" w:rsidRDefault="00FD3516" w:rsidP="00FD3516">
            <w:pPr>
              <w:rPr>
                <w:sz w:val="24"/>
                <w:szCs w:val="24"/>
              </w:rPr>
            </w:pPr>
            <w:r>
              <w:rPr>
                <w:sz w:val="24"/>
                <w:szCs w:val="24"/>
              </w:rPr>
              <w:t>4 Fr</w:t>
            </w:r>
          </w:p>
        </w:tc>
        <w:tc>
          <w:tcPr>
            <w:tcW w:w="2880" w:type="dxa"/>
            <w:gridSpan w:val="3"/>
          </w:tcPr>
          <w:p w14:paraId="0F0E084A" w14:textId="77777777" w:rsidR="00FD3516" w:rsidRDefault="00FD3516" w:rsidP="00FD3516">
            <w:pPr>
              <w:rPr>
                <w:sz w:val="24"/>
                <w:szCs w:val="24"/>
              </w:rPr>
            </w:pPr>
            <w:r>
              <w:rPr>
                <w:sz w:val="24"/>
                <w:szCs w:val="24"/>
              </w:rPr>
              <w:t>0.41 mL</w:t>
            </w:r>
          </w:p>
        </w:tc>
        <w:tc>
          <w:tcPr>
            <w:tcW w:w="2268" w:type="dxa"/>
          </w:tcPr>
          <w:p w14:paraId="0F0E084B" w14:textId="77777777" w:rsidR="00FD3516" w:rsidRDefault="00FD3516" w:rsidP="00FD3516">
            <w:pPr>
              <w:rPr>
                <w:sz w:val="24"/>
                <w:szCs w:val="24"/>
              </w:rPr>
            </w:pPr>
            <w:r>
              <w:rPr>
                <w:sz w:val="24"/>
                <w:szCs w:val="24"/>
              </w:rPr>
              <w:t>18 Ga</w:t>
            </w:r>
          </w:p>
        </w:tc>
      </w:tr>
      <w:tr w:rsidR="00FD3516" w14:paraId="0F0E084E" w14:textId="77777777" w:rsidTr="00FD3516">
        <w:trPr>
          <w:trHeight w:val="30"/>
        </w:trPr>
        <w:tc>
          <w:tcPr>
            <w:tcW w:w="9576" w:type="dxa"/>
            <w:gridSpan w:val="6"/>
          </w:tcPr>
          <w:p w14:paraId="0F0E084D" w14:textId="77777777" w:rsidR="00FD3516" w:rsidRPr="008A7A41" w:rsidRDefault="00FD3516" w:rsidP="00FD3516">
            <w:pPr>
              <w:rPr>
                <w:b/>
                <w:sz w:val="24"/>
                <w:szCs w:val="24"/>
              </w:rPr>
            </w:pPr>
            <w:proofErr w:type="spellStart"/>
            <w:r>
              <w:rPr>
                <w:b/>
                <w:sz w:val="24"/>
                <w:szCs w:val="24"/>
              </w:rPr>
              <w:t>Broviac</w:t>
            </w:r>
            <w:proofErr w:type="spellEnd"/>
            <w:r>
              <w:rPr>
                <w:b/>
                <w:sz w:val="24"/>
                <w:szCs w:val="24"/>
              </w:rPr>
              <w:t>® Catheter</w:t>
            </w:r>
          </w:p>
        </w:tc>
      </w:tr>
      <w:tr w:rsidR="00FD3516" w14:paraId="0F0E0853" w14:textId="77777777" w:rsidTr="00FD3516">
        <w:trPr>
          <w:trHeight w:val="30"/>
        </w:trPr>
        <w:tc>
          <w:tcPr>
            <w:tcW w:w="2394" w:type="dxa"/>
          </w:tcPr>
          <w:p w14:paraId="0F0E084F" w14:textId="77777777" w:rsidR="00FD3516" w:rsidRDefault="00FD3516" w:rsidP="00FD3516">
            <w:pPr>
              <w:rPr>
                <w:sz w:val="24"/>
                <w:szCs w:val="24"/>
              </w:rPr>
            </w:pPr>
            <w:r>
              <w:rPr>
                <w:sz w:val="24"/>
                <w:szCs w:val="24"/>
              </w:rPr>
              <w:t>Single</w:t>
            </w:r>
          </w:p>
        </w:tc>
        <w:tc>
          <w:tcPr>
            <w:tcW w:w="2034" w:type="dxa"/>
          </w:tcPr>
          <w:p w14:paraId="0F0E0850" w14:textId="77777777" w:rsidR="00FD3516" w:rsidRDefault="00FD3516" w:rsidP="00FD3516">
            <w:pPr>
              <w:rPr>
                <w:sz w:val="24"/>
                <w:szCs w:val="24"/>
              </w:rPr>
            </w:pPr>
            <w:r>
              <w:rPr>
                <w:sz w:val="24"/>
                <w:szCs w:val="24"/>
              </w:rPr>
              <w:t>2.7 Fr</w:t>
            </w:r>
          </w:p>
        </w:tc>
        <w:tc>
          <w:tcPr>
            <w:tcW w:w="2880" w:type="dxa"/>
            <w:gridSpan w:val="3"/>
          </w:tcPr>
          <w:p w14:paraId="0F0E0851" w14:textId="77777777" w:rsidR="00FD3516" w:rsidRDefault="00FD3516" w:rsidP="00FD3516">
            <w:pPr>
              <w:rPr>
                <w:sz w:val="24"/>
                <w:szCs w:val="24"/>
              </w:rPr>
            </w:pPr>
            <w:r>
              <w:rPr>
                <w:sz w:val="24"/>
                <w:szCs w:val="24"/>
              </w:rPr>
              <w:t>0.15 mL</w:t>
            </w:r>
          </w:p>
        </w:tc>
        <w:tc>
          <w:tcPr>
            <w:tcW w:w="2268" w:type="dxa"/>
          </w:tcPr>
          <w:p w14:paraId="0F0E0852" w14:textId="77777777" w:rsidR="00FD3516" w:rsidRDefault="00FD3516" w:rsidP="00FD3516">
            <w:pPr>
              <w:rPr>
                <w:sz w:val="24"/>
                <w:szCs w:val="24"/>
              </w:rPr>
            </w:pPr>
            <w:r>
              <w:rPr>
                <w:sz w:val="24"/>
                <w:szCs w:val="24"/>
              </w:rPr>
              <w:t>N/A</w:t>
            </w:r>
          </w:p>
        </w:tc>
      </w:tr>
      <w:tr w:rsidR="00FD3516" w14:paraId="0F0E0858" w14:textId="77777777" w:rsidTr="00FD3516">
        <w:trPr>
          <w:trHeight w:val="20"/>
        </w:trPr>
        <w:tc>
          <w:tcPr>
            <w:tcW w:w="2394" w:type="dxa"/>
          </w:tcPr>
          <w:p w14:paraId="0F0E0854" w14:textId="77777777" w:rsidR="00FD3516" w:rsidRDefault="00FD3516" w:rsidP="00FD3516">
            <w:pPr>
              <w:rPr>
                <w:sz w:val="24"/>
                <w:szCs w:val="24"/>
              </w:rPr>
            </w:pPr>
            <w:r>
              <w:rPr>
                <w:sz w:val="24"/>
                <w:szCs w:val="24"/>
              </w:rPr>
              <w:t>Single</w:t>
            </w:r>
          </w:p>
        </w:tc>
        <w:tc>
          <w:tcPr>
            <w:tcW w:w="2034" w:type="dxa"/>
          </w:tcPr>
          <w:p w14:paraId="0F0E0855" w14:textId="77777777" w:rsidR="00FD3516" w:rsidRDefault="00FD3516" w:rsidP="00FD3516">
            <w:pPr>
              <w:rPr>
                <w:sz w:val="24"/>
                <w:szCs w:val="24"/>
              </w:rPr>
            </w:pPr>
            <w:r>
              <w:rPr>
                <w:sz w:val="24"/>
                <w:szCs w:val="24"/>
              </w:rPr>
              <w:t>4.2 Fr</w:t>
            </w:r>
          </w:p>
        </w:tc>
        <w:tc>
          <w:tcPr>
            <w:tcW w:w="2880" w:type="dxa"/>
            <w:gridSpan w:val="3"/>
          </w:tcPr>
          <w:p w14:paraId="0F0E0856" w14:textId="77777777" w:rsidR="00FD3516" w:rsidRDefault="00FD3516" w:rsidP="00FD3516">
            <w:pPr>
              <w:rPr>
                <w:sz w:val="24"/>
                <w:szCs w:val="24"/>
              </w:rPr>
            </w:pPr>
            <w:r>
              <w:rPr>
                <w:sz w:val="24"/>
                <w:szCs w:val="24"/>
              </w:rPr>
              <w:t>0.3 mL</w:t>
            </w:r>
          </w:p>
        </w:tc>
        <w:tc>
          <w:tcPr>
            <w:tcW w:w="2268" w:type="dxa"/>
          </w:tcPr>
          <w:p w14:paraId="0F0E0857" w14:textId="77777777" w:rsidR="00FD3516" w:rsidRDefault="00FD3516" w:rsidP="00FD3516">
            <w:pPr>
              <w:rPr>
                <w:sz w:val="24"/>
                <w:szCs w:val="24"/>
              </w:rPr>
            </w:pPr>
            <w:r>
              <w:rPr>
                <w:sz w:val="24"/>
                <w:szCs w:val="24"/>
              </w:rPr>
              <w:t>N/A</w:t>
            </w:r>
          </w:p>
        </w:tc>
      </w:tr>
      <w:tr w:rsidR="00FD3516" w14:paraId="0F0E085D" w14:textId="77777777" w:rsidTr="00FD3516">
        <w:trPr>
          <w:trHeight w:val="20"/>
        </w:trPr>
        <w:tc>
          <w:tcPr>
            <w:tcW w:w="2394" w:type="dxa"/>
          </w:tcPr>
          <w:p w14:paraId="0F0E0859" w14:textId="77777777" w:rsidR="00FD3516" w:rsidRDefault="00FD3516" w:rsidP="00FD3516">
            <w:pPr>
              <w:rPr>
                <w:sz w:val="24"/>
                <w:szCs w:val="24"/>
              </w:rPr>
            </w:pPr>
            <w:r>
              <w:rPr>
                <w:sz w:val="24"/>
                <w:szCs w:val="24"/>
              </w:rPr>
              <w:t>Single</w:t>
            </w:r>
          </w:p>
        </w:tc>
        <w:tc>
          <w:tcPr>
            <w:tcW w:w="2034" w:type="dxa"/>
          </w:tcPr>
          <w:p w14:paraId="0F0E085A" w14:textId="77777777" w:rsidR="00FD3516" w:rsidRDefault="00FD3516" w:rsidP="00FD3516">
            <w:pPr>
              <w:rPr>
                <w:sz w:val="24"/>
                <w:szCs w:val="24"/>
              </w:rPr>
            </w:pPr>
            <w:r>
              <w:rPr>
                <w:sz w:val="24"/>
                <w:szCs w:val="24"/>
              </w:rPr>
              <w:t>6.6 Fr</w:t>
            </w:r>
          </w:p>
        </w:tc>
        <w:tc>
          <w:tcPr>
            <w:tcW w:w="2880" w:type="dxa"/>
            <w:gridSpan w:val="3"/>
          </w:tcPr>
          <w:p w14:paraId="0F0E085B" w14:textId="77777777" w:rsidR="00FD3516" w:rsidRDefault="00FD3516" w:rsidP="00FD3516">
            <w:pPr>
              <w:rPr>
                <w:sz w:val="24"/>
                <w:szCs w:val="24"/>
              </w:rPr>
            </w:pPr>
            <w:r>
              <w:rPr>
                <w:sz w:val="24"/>
                <w:szCs w:val="24"/>
              </w:rPr>
              <w:t>0.7 mL</w:t>
            </w:r>
          </w:p>
        </w:tc>
        <w:tc>
          <w:tcPr>
            <w:tcW w:w="2268" w:type="dxa"/>
          </w:tcPr>
          <w:p w14:paraId="0F0E085C" w14:textId="77777777" w:rsidR="00FD3516" w:rsidRDefault="00FD3516" w:rsidP="00FD3516">
            <w:pPr>
              <w:rPr>
                <w:sz w:val="24"/>
                <w:szCs w:val="24"/>
              </w:rPr>
            </w:pPr>
            <w:r>
              <w:rPr>
                <w:sz w:val="24"/>
                <w:szCs w:val="24"/>
              </w:rPr>
              <w:t>N/A</w:t>
            </w:r>
          </w:p>
        </w:tc>
      </w:tr>
      <w:tr w:rsidR="00FD3516" w14:paraId="0F0E085F" w14:textId="77777777" w:rsidTr="00FD3516">
        <w:trPr>
          <w:trHeight w:val="20"/>
        </w:trPr>
        <w:tc>
          <w:tcPr>
            <w:tcW w:w="9576" w:type="dxa"/>
            <w:gridSpan w:val="6"/>
          </w:tcPr>
          <w:p w14:paraId="0F0E085E" w14:textId="77777777" w:rsidR="00FD3516" w:rsidRPr="0014107A" w:rsidRDefault="00FD3516" w:rsidP="00FD3516">
            <w:pPr>
              <w:rPr>
                <w:b/>
                <w:sz w:val="24"/>
                <w:szCs w:val="24"/>
              </w:rPr>
            </w:pPr>
            <w:r>
              <w:rPr>
                <w:b/>
                <w:sz w:val="24"/>
                <w:szCs w:val="24"/>
              </w:rPr>
              <w:t>Hickman® Catheter</w:t>
            </w:r>
          </w:p>
        </w:tc>
      </w:tr>
      <w:tr w:rsidR="00FD3516" w14:paraId="0F0E0864" w14:textId="77777777" w:rsidTr="00FD3516">
        <w:trPr>
          <w:trHeight w:val="20"/>
        </w:trPr>
        <w:tc>
          <w:tcPr>
            <w:tcW w:w="2394" w:type="dxa"/>
          </w:tcPr>
          <w:p w14:paraId="0F0E0860" w14:textId="77777777" w:rsidR="00FD3516" w:rsidRDefault="00FD3516" w:rsidP="00FD3516">
            <w:pPr>
              <w:rPr>
                <w:sz w:val="24"/>
                <w:szCs w:val="24"/>
              </w:rPr>
            </w:pPr>
            <w:r>
              <w:rPr>
                <w:sz w:val="24"/>
                <w:szCs w:val="24"/>
              </w:rPr>
              <w:t>Single</w:t>
            </w:r>
          </w:p>
        </w:tc>
        <w:tc>
          <w:tcPr>
            <w:tcW w:w="2034" w:type="dxa"/>
          </w:tcPr>
          <w:p w14:paraId="0F0E0861" w14:textId="77777777" w:rsidR="00FD3516" w:rsidRDefault="00FD3516" w:rsidP="00FD3516">
            <w:pPr>
              <w:rPr>
                <w:sz w:val="24"/>
                <w:szCs w:val="24"/>
              </w:rPr>
            </w:pPr>
            <w:r>
              <w:rPr>
                <w:sz w:val="24"/>
                <w:szCs w:val="24"/>
              </w:rPr>
              <w:t>9.6 Fr</w:t>
            </w:r>
          </w:p>
        </w:tc>
        <w:tc>
          <w:tcPr>
            <w:tcW w:w="2880" w:type="dxa"/>
            <w:gridSpan w:val="3"/>
          </w:tcPr>
          <w:p w14:paraId="0F0E0862" w14:textId="77777777" w:rsidR="00FD3516" w:rsidRDefault="00FD3516" w:rsidP="00FD3516">
            <w:pPr>
              <w:rPr>
                <w:sz w:val="24"/>
                <w:szCs w:val="24"/>
              </w:rPr>
            </w:pPr>
            <w:r>
              <w:rPr>
                <w:sz w:val="24"/>
                <w:szCs w:val="24"/>
              </w:rPr>
              <w:t>1.8 mL</w:t>
            </w:r>
          </w:p>
        </w:tc>
        <w:tc>
          <w:tcPr>
            <w:tcW w:w="2268" w:type="dxa"/>
          </w:tcPr>
          <w:p w14:paraId="0F0E0863" w14:textId="77777777" w:rsidR="00FD3516" w:rsidRDefault="00FD3516" w:rsidP="00FD3516">
            <w:pPr>
              <w:rPr>
                <w:sz w:val="24"/>
                <w:szCs w:val="24"/>
              </w:rPr>
            </w:pPr>
            <w:r>
              <w:rPr>
                <w:sz w:val="24"/>
                <w:szCs w:val="24"/>
              </w:rPr>
              <w:t>N/A</w:t>
            </w:r>
          </w:p>
        </w:tc>
      </w:tr>
      <w:tr w:rsidR="00FD3516" w14:paraId="0F0E0869" w14:textId="77777777" w:rsidTr="00FD3516">
        <w:trPr>
          <w:trHeight w:val="20"/>
        </w:trPr>
        <w:tc>
          <w:tcPr>
            <w:tcW w:w="2394" w:type="dxa"/>
          </w:tcPr>
          <w:p w14:paraId="0F0E0865" w14:textId="77777777" w:rsidR="00FD3516" w:rsidRDefault="00FD3516" w:rsidP="00FD3516">
            <w:pPr>
              <w:rPr>
                <w:sz w:val="24"/>
                <w:szCs w:val="24"/>
              </w:rPr>
            </w:pPr>
            <w:r>
              <w:rPr>
                <w:sz w:val="24"/>
                <w:szCs w:val="24"/>
              </w:rPr>
              <w:t xml:space="preserve">Dual </w:t>
            </w:r>
          </w:p>
        </w:tc>
        <w:tc>
          <w:tcPr>
            <w:tcW w:w="2034" w:type="dxa"/>
          </w:tcPr>
          <w:p w14:paraId="0F0E0866" w14:textId="77777777" w:rsidR="00FD3516" w:rsidRDefault="00FD3516" w:rsidP="00FD3516">
            <w:pPr>
              <w:rPr>
                <w:sz w:val="24"/>
                <w:szCs w:val="24"/>
              </w:rPr>
            </w:pPr>
            <w:r>
              <w:rPr>
                <w:sz w:val="24"/>
                <w:szCs w:val="24"/>
              </w:rPr>
              <w:t>7 Fr</w:t>
            </w:r>
          </w:p>
        </w:tc>
        <w:tc>
          <w:tcPr>
            <w:tcW w:w="2880" w:type="dxa"/>
            <w:gridSpan w:val="3"/>
          </w:tcPr>
          <w:p w14:paraId="0F0E0867" w14:textId="77777777" w:rsidR="00FD3516" w:rsidRDefault="00FD3516" w:rsidP="00FD3516">
            <w:pPr>
              <w:rPr>
                <w:sz w:val="24"/>
                <w:szCs w:val="24"/>
              </w:rPr>
            </w:pPr>
            <w:r>
              <w:rPr>
                <w:sz w:val="24"/>
                <w:szCs w:val="24"/>
              </w:rPr>
              <w:t>0.8 mL/0.6 mL</w:t>
            </w:r>
          </w:p>
        </w:tc>
        <w:tc>
          <w:tcPr>
            <w:tcW w:w="2268" w:type="dxa"/>
          </w:tcPr>
          <w:p w14:paraId="0F0E0868" w14:textId="77777777" w:rsidR="00FD3516" w:rsidRDefault="00FD3516" w:rsidP="00FD3516">
            <w:pPr>
              <w:rPr>
                <w:sz w:val="24"/>
                <w:szCs w:val="24"/>
              </w:rPr>
            </w:pPr>
            <w:r>
              <w:rPr>
                <w:sz w:val="24"/>
                <w:szCs w:val="24"/>
              </w:rPr>
              <w:t>N/A</w:t>
            </w:r>
          </w:p>
        </w:tc>
      </w:tr>
      <w:tr w:rsidR="00FD3516" w14:paraId="0F0E086E" w14:textId="77777777" w:rsidTr="00FD3516">
        <w:trPr>
          <w:trHeight w:val="20"/>
        </w:trPr>
        <w:tc>
          <w:tcPr>
            <w:tcW w:w="2394" w:type="dxa"/>
          </w:tcPr>
          <w:p w14:paraId="0F0E086A" w14:textId="77777777" w:rsidR="00FD3516" w:rsidRPr="00BD3E5C" w:rsidRDefault="00FD3516" w:rsidP="00FD3516">
            <w:pPr>
              <w:rPr>
                <w:sz w:val="24"/>
                <w:szCs w:val="24"/>
              </w:rPr>
            </w:pPr>
            <w:r>
              <w:rPr>
                <w:sz w:val="24"/>
                <w:szCs w:val="24"/>
              </w:rPr>
              <w:t>Dual</w:t>
            </w:r>
          </w:p>
        </w:tc>
        <w:tc>
          <w:tcPr>
            <w:tcW w:w="2034" w:type="dxa"/>
          </w:tcPr>
          <w:p w14:paraId="0F0E086B" w14:textId="77777777" w:rsidR="00FD3516" w:rsidRPr="00BD3E5C" w:rsidRDefault="00FD3516" w:rsidP="00FD3516">
            <w:pPr>
              <w:rPr>
                <w:sz w:val="24"/>
                <w:szCs w:val="24"/>
              </w:rPr>
            </w:pPr>
            <w:r>
              <w:rPr>
                <w:sz w:val="24"/>
                <w:szCs w:val="24"/>
              </w:rPr>
              <w:t>12 Fr</w:t>
            </w:r>
          </w:p>
        </w:tc>
        <w:tc>
          <w:tcPr>
            <w:tcW w:w="2880" w:type="dxa"/>
            <w:gridSpan w:val="3"/>
          </w:tcPr>
          <w:p w14:paraId="0F0E086C" w14:textId="77777777" w:rsidR="00FD3516" w:rsidRPr="00BD3E5C" w:rsidRDefault="00FD3516" w:rsidP="00FD3516">
            <w:pPr>
              <w:rPr>
                <w:sz w:val="24"/>
                <w:szCs w:val="24"/>
              </w:rPr>
            </w:pPr>
            <w:r>
              <w:rPr>
                <w:sz w:val="24"/>
                <w:szCs w:val="24"/>
              </w:rPr>
              <w:t>1.8 mL/1.8 mL</w:t>
            </w:r>
          </w:p>
        </w:tc>
        <w:tc>
          <w:tcPr>
            <w:tcW w:w="2268" w:type="dxa"/>
          </w:tcPr>
          <w:p w14:paraId="0F0E086D" w14:textId="77777777" w:rsidR="00FD3516" w:rsidRPr="00BD3E5C" w:rsidRDefault="00FD3516" w:rsidP="00FD3516">
            <w:pPr>
              <w:rPr>
                <w:sz w:val="24"/>
                <w:szCs w:val="24"/>
              </w:rPr>
            </w:pPr>
            <w:r>
              <w:rPr>
                <w:sz w:val="24"/>
                <w:szCs w:val="24"/>
              </w:rPr>
              <w:t>N/A</w:t>
            </w:r>
          </w:p>
        </w:tc>
      </w:tr>
      <w:tr w:rsidR="00FD3516" w14:paraId="0F0E0873" w14:textId="77777777" w:rsidTr="00FD3516">
        <w:trPr>
          <w:trHeight w:val="20"/>
        </w:trPr>
        <w:tc>
          <w:tcPr>
            <w:tcW w:w="2394" w:type="dxa"/>
          </w:tcPr>
          <w:p w14:paraId="0F0E086F" w14:textId="77777777" w:rsidR="00FD3516" w:rsidRDefault="00FD3516" w:rsidP="00FD3516">
            <w:pPr>
              <w:rPr>
                <w:sz w:val="24"/>
                <w:szCs w:val="24"/>
              </w:rPr>
            </w:pPr>
            <w:r>
              <w:rPr>
                <w:sz w:val="24"/>
                <w:szCs w:val="24"/>
              </w:rPr>
              <w:t>Triple</w:t>
            </w:r>
          </w:p>
        </w:tc>
        <w:tc>
          <w:tcPr>
            <w:tcW w:w="2034" w:type="dxa"/>
          </w:tcPr>
          <w:p w14:paraId="0F0E0870" w14:textId="77777777" w:rsidR="00FD3516" w:rsidRDefault="00FD3516" w:rsidP="00FD3516">
            <w:pPr>
              <w:rPr>
                <w:sz w:val="24"/>
                <w:szCs w:val="24"/>
              </w:rPr>
            </w:pPr>
            <w:r>
              <w:rPr>
                <w:sz w:val="24"/>
                <w:szCs w:val="24"/>
              </w:rPr>
              <w:t>10 Fr</w:t>
            </w:r>
          </w:p>
        </w:tc>
        <w:tc>
          <w:tcPr>
            <w:tcW w:w="2880" w:type="dxa"/>
            <w:gridSpan w:val="3"/>
          </w:tcPr>
          <w:p w14:paraId="0F0E0871" w14:textId="77777777" w:rsidR="00FD3516" w:rsidRDefault="00FD3516" w:rsidP="00FD3516">
            <w:pPr>
              <w:rPr>
                <w:sz w:val="24"/>
                <w:szCs w:val="24"/>
              </w:rPr>
            </w:pPr>
            <w:r>
              <w:rPr>
                <w:sz w:val="24"/>
                <w:szCs w:val="24"/>
              </w:rPr>
              <w:t>1.4 mL/0.8 mL/0.8 mL</w:t>
            </w:r>
          </w:p>
        </w:tc>
        <w:tc>
          <w:tcPr>
            <w:tcW w:w="2268" w:type="dxa"/>
          </w:tcPr>
          <w:p w14:paraId="0F0E0872" w14:textId="77777777" w:rsidR="00FD3516" w:rsidRDefault="00FD3516" w:rsidP="00FD3516">
            <w:pPr>
              <w:rPr>
                <w:sz w:val="24"/>
                <w:szCs w:val="24"/>
              </w:rPr>
            </w:pPr>
            <w:r>
              <w:rPr>
                <w:sz w:val="24"/>
                <w:szCs w:val="24"/>
              </w:rPr>
              <w:t>N/A</w:t>
            </w:r>
          </w:p>
        </w:tc>
      </w:tr>
      <w:tr w:rsidR="00FD3516" w14:paraId="0F0E0878" w14:textId="77777777" w:rsidTr="00FD3516">
        <w:trPr>
          <w:trHeight w:val="20"/>
        </w:trPr>
        <w:tc>
          <w:tcPr>
            <w:tcW w:w="2394" w:type="dxa"/>
          </w:tcPr>
          <w:p w14:paraId="0F0E0874" w14:textId="77777777" w:rsidR="00FD3516" w:rsidRDefault="00FD3516" w:rsidP="00FD3516">
            <w:pPr>
              <w:rPr>
                <w:sz w:val="24"/>
                <w:szCs w:val="24"/>
              </w:rPr>
            </w:pPr>
            <w:r>
              <w:rPr>
                <w:sz w:val="24"/>
                <w:szCs w:val="24"/>
              </w:rPr>
              <w:t>Triple</w:t>
            </w:r>
          </w:p>
        </w:tc>
        <w:tc>
          <w:tcPr>
            <w:tcW w:w="2034" w:type="dxa"/>
          </w:tcPr>
          <w:p w14:paraId="0F0E0875" w14:textId="77777777" w:rsidR="00FD3516" w:rsidRDefault="00FD3516" w:rsidP="00FD3516">
            <w:pPr>
              <w:rPr>
                <w:sz w:val="24"/>
                <w:szCs w:val="24"/>
              </w:rPr>
            </w:pPr>
            <w:r>
              <w:rPr>
                <w:sz w:val="24"/>
                <w:szCs w:val="24"/>
              </w:rPr>
              <w:t>12.5 Fr</w:t>
            </w:r>
          </w:p>
        </w:tc>
        <w:tc>
          <w:tcPr>
            <w:tcW w:w="2880" w:type="dxa"/>
            <w:gridSpan w:val="3"/>
          </w:tcPr>
          <w:p w14:paraId="0F0E0876" w14:textId="77777777" w:rsidR="00FD3516" w:rsidRDefault="00FD3516" w:rsidP="00FD3516">
            <w:pPr>
              <w:rPr>
                <w:sz w:val="24"/>
                <w:szCs w:val="24"/>
              </w:rPr>
            </w:pPr>
            <w:r>
              <w:rPr>
                <w:sz w:val="24"/>
                <w:szCs w:val="24"/>
              </w:rPr>
              <w:t>1.6 mL/0.7 mL/0.7 mL</w:t>
            </w:r>
          </w:p>
        </w:tc>
        <w:tc>
          <w:tcPr>
            <w:tcW w:w="2268" w:type="dxa"/>
          </w:tcPr>
          <w:p w14:paraId="0F0E0877" w14:textId="77777777" w:rsidR="00FD3516" w:rsidRDefault="00FD3516" w:rsidP="00FD3516">
            <w:pPr>
              <w:rPr>
                <w:sz w:val="24"/>
                <w:szCs w:val="24"/>
              </w:rPr>
            </w:pPr>
            <w:r>
              <w:rPr>
                <w:sz w:val="24"/>
                <w:szCs w:val="24"/>
              </w:rPr>
              <w:t xml:space="preserve">N/A </w:t>
            </w:r>
          </w:p>
        </w:tc>
      </w:tr>
      <w:tr w:rsidR="00FD3516" w14:paraId="0F0E087D" w14:textId="77777777" w:rsidTr="00FD3516">
        <w:trPr>
          <w:trHeight w:val="20"/>
        </w:trPr>
        <w:tc>
          <w:tcPr>
            <w:tcW w:w="2394" w:type="dxa"/>
          </w:tcPr>
          <w:p w14:paraId="0F0E0879" w14:textId="77777777" w:rsidR="00FD3516" w:rsidRPr="00BD3E5C" w:rsidRDefault="00FD3516" w:rsidP="00FD3516">
            <w:pPr>
              <w:rPr>
                <w:sz w:val="24"/>
                <w:szCs w:val="24"/>
              </w:rPr>
            </w:pPr>
            <w:r>
              <w:rPr>
                <w:b/>
                <w:sz w:val="24"/>
                <w:szCs w:val="24"/>
              </w:rPr>
              <w:t>Leonard® Catheter</w:t>
            </w:r>
          </w:p>
        </w:tc>
        <w:tc>
          <w:tcPr>
            <w:tcW w:w="2034" w:type="dxa"/>
          </w:tcPr>
          <w:p w14:paraId="0F0E087A" w14:textId="77777777" w:rsidR="00FD3516" w:rsidRDefault="00FD3516" w:rsidP="00FD3516">
            <w:pPr>
              <w:rPr>
                <w:sz w:val="24"/>
                <w:szCs w:val="24"/>
              </w:rPr>
            </w:pPr>
          </w:p>
        </w:tc>
        <w:tc>
          <w:tcPr>
            <w:tcW w:w="2880" w:type="dxa"/>
            <w:gridSpan w:val="3"/>
          </w:tcPr>
          <w:p w14:paraId="0F0E087B" w14:textId="77777777" w:rsidR="00FD3516" w:rsidRDefault="00FD3516" w:rsidP="00FD3516">
            <w:pPr>
              <w:rPr>
                <w:sz w:val="24"/>
                <w:szCs w:val="24"/>
              </w:rPr>
            </w:pPr>
          </w:p>
        </w:tc>
        <w:tc>
          <w:tcPr>
            <w:tcW w:w="2268" w:type="dxa"/>
          </w:tcPr>
          <w:p w14:paraId="0F0E087C" w14:textId="77777777" w:rsidR="00FD3516" w:rsidRDefault="00FD3516" w:rsidP="00FD3516">
            <w:pPr>
              <w:rPr>
                <w:sz w:val="24"/>
                <w:szCs w:val="24"/>
              </w:rPr>
            </w:pPr>
          </w:p>
        </w:tc>
      </w:tr>
      <w:tr w:rsidR="00FD3516" w14:paraId="0F0E0882" w14:textId="77777777" w:rsidTr="00FD3516">
        <w:trPr>
          <w:trHeight w:val="20"/>
        </w:trPr>
        <w:tc>
          <w:tcPr>
            <w:tcW w:w="2394" w:type="dxa"/>
          </w:tcPr>
          <w:p w14:paraId="0F0E087E" w14:textId="77777777" w:rsidR="00FD3516" w:rsidRDefault="00FD3516" w:rsidP="00FD3516">
            <w:pPr>
              <w:rPr>
                <w:sz w:val="24"/>
                <w:szCs w:val="24"/>
              </w:rPr>
            </w:pPr>
            <w:r>
              <w:rPr>
                <w:sz w:val="24"/>
                <w:szCs w:val="24"/>
              </w:rPr>
              <w:t>Dual</w:t>
            </w:r>
          </w:p>
        </w:tc>
        <w:tc>
          <w:tcPr>
            <w:tcW w:w="2034" w:type="dxa"/>
          </w:tcPr>
          <w:p w14:paraId="0F0E087F" w14:textId="77777777" w:rsidR="00FD3516" w:rsidRDefault="00FD3516" w:rsidP="00FD3516">
            <w:pPr>
              <w:rPr>
                <w:sz w:val="24"/>
                <w:szCs w:val="24"/>
              </w:rPr>
            </w:pPr>
            <w:r>
              <w:rPr>
                <w:sz w:val="24"/>
                <w:szCs w:val="24"/>
              </w:rPr>
              <w:t>10 Fr</w:t>
            </w:r>
          </w:p>
        </w:tc>
        <w:tc>
          <w:tcPr>
            <w:tcW w:w="2880" w:type="dxa"/>
            <w:gridSpan w:val="3"/>
          </w:tcPr>
          <w:p w14:paraId="0F0E0880" w14:textId="77777777" w:rsidR="00FD3516" w:rsidRDefault="00FD3516" w:rsidP="00FD3516">
            <w:pPr>
              <w:rPr>
                <w:sz w:val="24"/>
                <w:szCs w:val="24"/>
              </w:rPr>
            </w:pPr>
            <w:r>
              <w:rPr>
                <w:sz w:val="24"/>
                <w:szCs w:val="24"/>
              </w:rPr>
              <w:t>1.3 mL/1.3 mL</w:t>
            </w:r>
          </w:p>
        </w:tc>
        <w:tc>
          <w:tcPr>
            <w:tcW w:w="2268" w:type="dxa"/>
          </w:tcPr>
          <w:p w14:paraId="0F0E0881" w14:textId="77777777" w:rsidR="00FD3516" w:rsidRDefault="00FD3516" w:rsidP="00FD3516">
            <w:pPr>
              <w:rPr>
                <w:sz w:val="24"/>
                <w:szCs w:val="24"/>
              </w:rPr>
            </w:pPr>
            <w:r>
              <w:rPr>
                <w:sz w:val="24"/>
                <w:szCs w:val="24"/>
              </w:rPr>
              <w:t>N/A</w:t>
            </w:r>
          </w:p>
        </w:tc>
      </w:tr>
      <w:tr w:rsidR="00FD3516" w14:paraId="0F0E0884" w14:textId="77777777" w:rsidTr="00FD3516">
        <w:trPr>
          <w:trHeight w:val="20"/>
        </w:trPr>
        <w:tc>
          <w:tcPr>
            <w:tcW w:w="9576" w:type="dxa"/>
            <w:gridSpan w:val="6"/>
          </w:tcPr>
          <w:p w14:paraId="0F0E0883" w14:textId="77777777" w:rsidR="00FD3516" w:rsidRPr="001B0BF1" w:rsidRDefault="00FD3516" w:rsidP="00FD3516">
            <w:pPr>
              <w:rPr>
                <w:b/>
                <w:sz w:val="24"/>
                <w:szCs w:val="24"/>
              </w:rPr>
            </w:pPr>
            <w:proofErr w:type="spellStart"/>
            <w:r>
              <w:rPr>
                <w:b/>
                <w:sz w:val="24"/>
                <w:szCs w:val="24"/>
              </w:rPr>
              <w:t>Groshong</w:t>
            </w:r>
            <w:proofErr w:type="spellEnd"/>
            <w:r>
              <w:rPr>
                <w:b/>
                <w:sz w:val="24"/>
                <w:szCs w:val="24"/>
              </w:rPr>
              <w:t>® PICC</w:t>
            </w:r>
          </w:p>
        </w:tc>
      </w:tr>
      <w:tr w:rsidR="00FD3516" w14:paraId="0F0E0889" w14:textId="77777777" w:rsidTr="00FD3516">
        <w:trPr>
          <w:trHeight w:val="20"/>
        </w:trPr>
        <w:tc>
          <w:tcPr>
            <w:tcW w:w="2394" w:type="dxa"/>
          </w:tcPr>
          <w:p w14:paraId="0F0E0885" w14:textId="77777777" w:rsidR="00FD3516" w:rsidRDefault="00FD3516" w:rsidP="00FD3516">
            <w:pPr>
              <w:rPr>
                <w:sz w:val="24"/>
                <w:szCs w:val="24"/>
              </w:rPr>
            </w:pPr>
            <w:r>
              <w:rPr>
                <w:sz w:val="24"/>
                <w:szCs w:val="24"/>
              </w:rPr>
              <w:t>Single</w:t>
            </w:r>
          </w:p>
        </w:tc>
        <w:tc>
          <w:tcPr>
            <w:tcW w:w="2034" w:type="dxa"/>
          </w:tcPr>
          <w:p w14:paraId="0F0E0886" w14:textId="77777777" w:rsidR="00FD3516" w:rsidRDefault="00FD3516" w:rsidP="00FD3516">
            <w:pPr>
              <w:rPr>
                <w:sz w:val="24"/>
                <w:szCs w:val="24"/>
              </w:rPr>
            </w:pPr>
            <w:r>
              <w:rPr>
                <w:sz w:val="24"/>
                <w:szCs w:val="24"/>
              </w:rPr>
              <w:t>3 Fr</w:t>
            </w:r>
          </w:p>
        </w:tc>
        <w:tc>
          <w:tcPr>
            <w:tcW w:w="2880" w:type="dxa"/>
            <w:gridSpan w:val="3"/>
          </w:tcPr>
          <w:p w14:paraId="0F0E0887" w14:textId="77777777" w:rsidR="00FD3516" w:rsidRDefault="00FD3516" w:rsidP="00FD3516">
            <w:pPr>
              <w:rPr>
                <w:sz w:val="24"/>
                <w:szCs w:val="24"/>
              </w:rPr>
            </w:pPr>
            <w:r>
              <w:rPr>
                <w:sz w:val="24"/>
                <w:szCs w:val="24"/>
              </w:rPr>
              <w:t>0.22 mL</w:t>
            </w:r>
          </w:p>
        </w:tc>
        <w:tc>
          <w:tcPr>
            <w:tcW w:w="2268" w:type="dxa"/>
          </w:tcPr>
          <w:p w14:paraId="0F0E0888" w14:textId="77777777" w:rsidR="00FD3516" w:rsidRDefault="00FD3516" w:rsidP="00FD3516">
            <w:pPr>
              <w:rPr>
                <w:sz w:val="24"/>
                <w:szCs w:val="24"/>
              </w:rPr>
            </w:pPr>
            <w:r>
              <w:rPr>
                <w:sz w:val="24"/>
                <w:szCs w:val="24"/>
              </w:rPr>
              <w:t>20 Ga</w:t>
            </w:r>
          </w:p>
        </w:tc>
      </w:tr>
      <w:tr w:rsidR="00FD3516" w14:paraId="0F0E088B" w14:textId="77777777" w:rsidTr="00FD3516">
        <w:trPr>
          <w:trHeight w:val="20"/>
        </w:trPr>
        <w:tc>
          <w:tcPr>
            <w:tcW w:w="9576" w:type="dxa"/>
            <w:gridSpan w:val="6"/>
          </w:tcPr>
          <w:p w14:paraId="0F0E088A" w14:textId="77777777" w:rsidR="00FD3516" w:rsidRPr="00EA0AB4" w:rsidRDefault="00FD3516" w:rsidP="00FD3516">
            <w:pPr>
              <w:rPr>
                <w:b/>
                <w:sz w:val="24"/>
                <w:szCs w:val="24"/>
              </w:rPr>
            </w:pPr>
            <w:proofErr w:type="spellStart"/>
            <w:r>
              <w:rPr>
                <w:b/>
                <w:sz w:val="24"/>
                <w:szCs w:val="24"/>
              </w:rPr>
              <w:t>Groshong</w:t>
            </w:r>
            <w:proofErr w:type="spellEnd"/>
            <w:r>
              <w:rPr>
                <w:b/>
                <w:sz w:val="24"/>
                <w:szCs w:val="24"/>
              </w:rPr>
              <w:t xml:space="preserve">® NXT </w:t>
            </w:r>
            <w:proofErr w:type="spellStart"/>
            <w:r>
              <w:rPr>
                <w:b/>
                <w:sz w:val="24"/>
                <w:szCs w:val="24"/>
              </w:rPr>
              <w:t>Clearvue</w:t>
            </w:r>
            <w:proofErr w:type="spellEnd"/>
            <w:r>
              <w:rPr>
                <w:b/>
                <w:sz w:val="24"/>
                <w:szCs w:val="24"/>
              </w:rPr>
              <w:t>® PICC</w:t>
            </w:r>
          </w:p>
        </w:tc>
      </w:tr>
      <w:tr w:rsidR="00FD3516" w14:paraId="0F0E0890" w14:textId="77777777" w:rsidTr="00FD3516">
        <w:trPr>
          <w:trHeight w:val="20"/>
        </w:trPr>
        <w:tc>
          <w:tcPr>
            <w:tcW w:w="2394" w:type="dxa"/>
          </w:tcPr>
          <w:p w14:paraId="0F0E088C" w14:textId="77777777" w:rsidR="00FD3516" w:rsidRDefault="00FD3516" w:rsidP="00FD3516">
            <w:pPr>
              <w:rPr>
                <w:sz w:val="24"/>
                <w:szCs w:val="24"/>
              </w:rPr>
            </w:pPr>
            <w:r>
              <w:rPr>
                <w:sz w:val="24"/>
                <w:szCs w:val="24"/>
              </w:rPr>
              <w:t>Single</w:t>
            </w:r>
          </w:p>
        </w:tc>
        <w:tc>
          <w:tcPr>
            <w:tcW w:w="2034" w:type="dxa"/>
          </w:tcPr>
          <w:p w14:paraId="0F0E088D" w14:textId="77777777" w:rsidR="00FD3516" w:rsidRDefault="00FD3516" w:rsidP="00FD3516">
            <w:pPr>
              <w:rPr>
                <w:sz w:val="24"/>
                <w:szCs w:val="24"/>
              </w:rPr>
            </w:pPr>
            <w:r>
              <w:rPr>
                <w:sz w:val="24"/>
                <w:szCs w:val="24"/>
              </w:rPr>
              <w:t>4 Fr</w:t>
            </w:r>
          </w:p>
        </w:tc>
        <w:tc>
          <w:tcPr>
            <w:tcW w:w="2880" w:type="dxa"/>
            <w:gridSpan w:val="3"/>
          </w:tcPr>
          <w:p w14:paraId="0F0E088E" w14:textId="77777777" w:rsidR="00FD3516" w:rsidRDefault="00FD3516" w:rsidP="00FD3516">
            <w:pPr>
              <w:rPr>
                <w:sz w:val="24"/>
                <w:szCs w:val="24"/>
              </w:rPr>
            </w:pPr>
            <w:r>
              <w:rPr>
                <w:sz w:val="24"/>
                <w:szCs w:val="24"/>
              </w:rPr>
              <w:t>0.45 mL</w:t>
            </w:r>
          </w:p>
        </w:tc>
        <w:tc>
          <w:tcPr>
            <w:tcW w:w="2268" w:type="dxa"/>
          </w:tcPr>
          <w:p w14:paraId="0F0E088F" w14:textId="77777777" w:rsidR="00FD3516" w:rsidRDefault="00FD3516" w:rsidP="00FD3516">
            <w:pPr>
              <w:rPr>
                <w:sz w:val="24"/>
                <w:szCs w:val="24"/>
              </w:rPr>
            </w:pPr>
            <w:r>
              <w:rPr>
                <w:sz w:val="24"/>
                <w:szCs w:val="24"/>
              </w:rPr>
              <w:t>18 Ga</w:t>
            </w:r>
          </w:p>
        </w:tc>
      </w:tr>
      <w:tr w:rsidR="00FD3516" w14:paraId="0F0E0892" w14:textId="77777777" w:rsidTr="00FD3516">
        <w:trPr>
          <w:trHeight w:val="20"/>
        </w:trPr>
        <w:tc>
          <w:tcPr>
            <w:tcW w:w="9576" w:type="dxa"/>
            <w:gridSpan w:val="6"/>
          </w:tcPr>
          <w:p w14:paraId="0F0E0891" w14:textId="77777777" w:rsidR="00FD3516" w:rsidRPr="00EA0AB4" w:rsidRDefault="00FD3516" w:rsidP="00FD3516">
            <w:pPr>
              <w:rPr>
                <w:b/>
                <w:sz w:val="24"/>
                <w:szCs w:val="24"/>
              </w:rPr>
            </w:pPr>
            <w:proofErr w:type="spellStart"/>
            <w:r>
              <w:rPr>
                <w:b/>
                <w:sz w:val="24"/>
                <w:szCs w:val="24"/>
              </w:rPr>
              <w:t>Groshong</w:t>
            </w:r>
            <w:proofErr w:type="spellEnd"/>
            <w:r>
              <w:rPr>
                <w:b/>
                <w:sz w:val="24"/>
                <w:szCs w:val="24"/>
              </w:rPr>
              <w:t>® NXT PICC</w:t>
            </w:r>
          </w:p>
        </w:tc>
      </w:tr>
      <w:tr w:rsidR="00FD3516" w14:paraId="0F0E0897" w14:textId="77777777" w:rsidTr="00FD3516">
        <w:trPr>
          <w:trHeight w:val="20"/>
        </w:trPr>
        <w:tc>
          <w:tcPr>
            <w:tcW w:w="2394" w:type="dxa"/>
          </w:tcPr>
          <w:p w14:paraId="0F0E0893" w14:textId="77777777" w:rsidR="00FD3516" w:rsidRDefault="00FD3516" w:rsidP="00FD3516">
            <w:pPr>
              <w:rPr>
                <w:sz w:val="24"/>
                <w:szCs w:val="24"/>
              </w:rPr>
            </w:pPr>
            <w:r>
              <w:rPr>
                <w:sz w:val="24"/>
                <w:szCs w:val="24"/>
              </w:rPr>
              <w:t>Dual</w:t>
            </w:r>
          </w:p>
        </w:tc>
        <w:tc>
          <w:tcPr>
            <w:tcW w:w="2034" w:type="dxa"/>
          </w:tcPr>
          <w:p w14:paraId="0F0E0894" w14:textId="77777777" w:rsidR="00FD3516" w:rsidRDefault="00FD3516" w:rsidP="00FD3516">
            <w:pPr>
              <w:rPr>
                <w:sz w:val="24"/>
                <w:szCs w:val="24"/>
              </w:rPr>
            </w:pPr>
            <w:r>
              <w:rPr>
                <w:sz w:val="24"/>
                <w:szCs w:val="24"/>
              </w:rPr>
              <w:t>5 Fr</w:t>
            </w:r>
          </w:p>
        </w:tc>
        <w:tc>
          <w:tcPr>
            <w:tcW w:w="2880" w:type="dxa"/>
            <w:gridSpan w:val="3"/>
          </w:tcPr>
          <w:p w14:paraId="0F0E0895" w14:textId="77777777" w:rsidR="00FD3516" w:rsidRDefault="00FD3516" w:rsidP="00FD3516">
            <w:pPr>
              <w:rPr>
                <w:sz w:val="24"/>
                <w:szCs w:val="24"/>
              </w:rPr>
            </w:pPr>
            <w:r>
              <w:rPr>
                <w:sz w:val="24"/>
                <w:szCs w:val="24"/>
              </w:rPr>
              <w:t>0.35 mL</w:t>
            </w:r>
          </w:p>
        </w:tc>
        <w:tc>
          <w:tcPr>
            <w:tcW w:w="2268" w:type="dxa"/>
          </w:tcPr>
          <w:p w14:paraId="0F0E0896" w14:textId="77777777" w:rsidR="00FD3516" w:rsidRDefault="00FD3516" w:rsidP="00FD3516">
            <w:pPr>
              <w:rPr>
                <w:sz w:val="24"/>
                <w:szCs w:val="24"/>
              </w:rPr>
            </w:pPr>
            <w:r>
              <w:rPr>
                <w:sz w:val="24"/>
                <w:szCs w:val="24"/>
              </w:rPr>
              <w:t>19 Ga</w:t>
            </w:r>
          </w:p>
        </w:tc>
      </w:tr>
      <w:tr w:rsidR="00FD3516" w14:paraId="0F0E089C" w14:textId="77777777" w:rsidTr="00FD3516">
        <w:trPr>
          <w:trHeight w:val="20"/>
        </w:trPr>
        <w:tc>
          <w:tcPr>
            <w:tcW w:w="2394" w:type="dxa"/>
          </w:tcPr>
          <w:p w14:paraId="0F0E0898" w14:textId="77777777" w:rsidR="00FD3516" w:rsidRDefault="00FD3516" w:rsidP="00FD3516">
            <w:pPr>
              <w:rPr>
                <w:sz w:val="24"/>
                <w:szCs w:val="24"/>
              </w:rPr>
            </w:pPr>
            <w:r>
              <w:rPr>
                <w:sz w:val="24"/>
                <w:szCs w:val="24"/>
              </w:rPr>
              <w:t>Single</w:t>
            </w:r>
          </w:p>
        </w:tc>
        <w:tc>
          <w:tcPr>
            <w:tcW w:w="2034" w:type="dxa"/>
          </w:tcPr>
          <w:p w14:paraId="0F0E0899" w14:textId="77777777" w:rsidR="00FD3516" w:rsidRDefault="00FD3516" w:rsidP="00FD3516">
            <w:pPr>
              <w:rPr>
                <w:sz w:val="24"/>
                <w:szCs w:val="24"/>
              </w:rPr>
            </w:pPr>
            <w:r>
              <w:rPr>
                <w:sz w:val="24"/>
                <w:szCs w:val="24"/>
              </w:rPr>
              <w:t>4 Fr</w:t>
            </w:r>
          </w:p>
        </w:tc>
        <w:tc>
          <w:tcPr>
            <w:tcW w:w="2880" w:type="dxa"/>
            <w:gridSpan w:val="3"/>
          </w:tcPr>
          <w:p w14:paraId="0F0E089A" w14:textId="77777777" w:rsidR="00FD3516" w:rsidRDefault="00FD3516" w:rsidP="00FD3516">
            <w:pPr>
              <w:rPr>
                <w:sz w:val="24"/>
                <w:szCs w:val="24"/>
              </w:rPr>
            </w:pPr>
            <w:r>
              <w:rPr>
                <w:sz w:val="24"/>
                <w:szCs w:val="24"/>
              </w:rPr>
              <w:t>0.45 mL</w:t>
            </w:r>
          </w:p>
        </w:tc>
        <w:tc>
          <w:tcPr>
            <w:tcW w:w="2268" w:type="dxa"/>
          </w:tcPr>
          <w:p w14:paraId="0F0E089B" w14:textId="77777777" w:rsidR="00FD3516" w:rsidRDefault="00FD3516" w:rsidP="00FD3516">
            <w:pPr>
              <w:rPr>
                <w:sz w:val="24"/>
                <w:szCs w:val="24"/>
              </w:rPr>
            </w:pPr>
            <w:r>
              <w:rPr>
                <w:sz w:val="24"/>
                <w:szCs w:val="24"/>
              </w:rPr>
              <w:t>18 Ga</w:t>
            </w:r>
          </w:p>
        </w:tc>
      </w:tr>
      <w:tr w:rsidR="00FD3516" w14:paraId="0F0E08A1" w14:textId="77777777" w:rsidTr="00FD3516">
        <w:trPr>
          <w:trHeight w:val="20"/>
        </w:trPr>
        <w:tc>
          <w:tcPr>
            <w:tcW w:w="2394" w:type="dxa"/>
          </w:tcPr>
          <w:p w14:paraId="0F0E089D" w14:textId="77777777" w:rsidR="00FD3516" w:rsidRDefault="00FD3516" w:rsidP="00FD3516">
            <w:pPr>
              <w:rPr>
                <w:sz w:val="24"/>
                <w:szCs w:val="24"/>
              </w:rPr>
            </w:pPr>
            <w:r>
              <w:rPr>
                <w:sz w:val="24"/>
                <w:szCs w:val="24"/>
              </w:rPr>
              <w:t>Dual</w:t>
            </w:r>
          </w:p>
        </w:tc>
        <w:tc>
          <w:tcPr>
            <w:tcW w:w="2034" w:type="dxa"/>
          </w:tcPr>
          <w:p w14:paraId="0F0E089E" w14:textId="77777777" w:rsidR="00FD3516" w:rsidRDefault="00FD3516" w:rsidP="00FD3516">
            <w:pPr>
              <w:rPr>
                <w:sz w:val="24"/>
                <w:szCs w:val="24"/>
              </w:rPr>
            </w:pPr>
            <w:r>
              <w:rPr>
                <w:sz w:val="24"/>
                <w:szCs w:val="24"/>
              </w:rPr>
              <w:t>5 Fr</w:t>
            </w:r>
          </w:p>
        </w:tc>
        <w:tc>
          <w:tcPr>
            <w:tcW w:w="2880" w:type="dxa"/>
            <w:gridSpan w:val="3"/>
          </w:tcPr>
          <w:p w14:paraId="0F0E089F" w14:textId="77777777" w:rsidR="00FD3516" w:rsidRDefault="00FD3516" w:rsidP="00FD3516">
            <w:pPr>
              <w:rPr>
                <w:sz w:val="24"/>
                <w:szCs w:val="24"/>
              </w:rPr>
            </w:pPr>
            <w:r>
              <w:rPr>
                <w:sz w:val="24"/>
                <w:szCs w:val="24"/>
              </w:rPr>
              <w:t>0.35 mL</w:t>
            </w:r>
          </w:p>
        </w:tc>
        <w:tc>
          <w:tcPr>
            <w:tcW w:w="2268" w:type="dxa"/>
          </w:tcPr>
          <w:p w14:paraId="0F0E08A0" w14:textId="77777777" w:rsidR="00FD3516" w:rsidRDefault="00FD3516" w:rsidP="00FD3516">
            <w:pPr>
              <w:rPr>
                <w:sz w:val="24"/>
                <w:szCs w:val="24"/>
              </w:rPr>
            </w:pPr>
            <w:r>
              <w:rPr>
                <w:sz w:val="24"/>
                <w:szCs w:val="24"/>
              </w:rPr>
              <w:t>19 Ga</w:t>
            </w:r>
          </w:p>
        </w:tc>
      </w:tr>
      <w:tr w:rsidR="00FD3516" w14:paraId="0F0E08A6" w14:textId="77777777" w:rsidTr="00FD3516">
        <w:trPr>
          <w:trHeight w:val="20"/>
        </w:trPr>
        <w:tc>
          <w:tcPr>
            <w:tcW w:w="2394" w:type="dxa"/>
          </w:tcPr>
          <w:p w14:paraId="0F0E08A2" w14:textId="77777777" w:rsidR="00FD3516" w:rsidRDefault="00FD3516" w:rsidP="00FD3516">
            <w:pPr>
              <w:rPr>
                <w:sz w:val="24"/>
                <w:szCs w:val="24"/>
              </w:rPr>
            </w:pPr>
            <w:r>
              <w:rPr>
                <w:sz w:val="24"/>
                <w:szCs w:val="24"/>
              </w:rPr>
              <w:t>Single</w:t>
            </w:r>
          </w:p>
        </w:tc>
        <w:tc>
          <w:tcPr>
            <w:tcW w:w="2034" w:type="dxa"/>
          </w:tcPr>
          <w:p w14:paraId="0F0E08A3" w14:textId="77777777" w:rsidR="00FD3516" w:rsidRDefault="00FD3516" w:rsidP="00FD3516">
            <w:pPr>
              <w:rPr>
                <w:sz w:val="24"/>
                <w:szCs w:val="24"/>
              </w:rPr>
            </w:pPr>
            <w:r>
              <w:rPr>
                <w:sz w:val="24"/>
                <w:szCs w:val="24"/>
              </w:rPr>
              <w:t>4 Fr, TLS</w:t>
            </w:r>
          </w:p>
        </w:tc>
        <w:tc>
          <w:tcPr>
            <w:tcW w:w="2880" w:type="dxa"/>
            <w:gridSpan w:val="3"/>
          </w:tcPr>
          <w:p w14:paraId="0F0E08A4" w14:textId="77777777" w:rsidR="00FD3516" w:rsidRDefault="00FD3516" w:rsidP="00FD3516">
            <w:pPr>
              <w:rPr>
                <w:sz w:val="24"/>
                <w:szCs w:val="24"/>
              </w:rPr>
            </w:pPr>
            <w:r>
              <w:rPr>
                <w:sz w:val="24"/>
                <w:szCs w:val="24"/>
              </w:rPr>
              <w:t>0.45 mL</w:t>
            </w:r>
          </w:p>
        </w:tc>
        <w:tc>
          <w:tcPr>
            <w:tcW w:w="2268" w:type="dxa"/>
          </w:tcPr>
          <w:p w14:paraId="0F0E08A5" w14:textId="77777777" w:rsidR="00FD3516" w:rsidRDefault="00FD3516" w:rsidP="00FD3516">
            <w:pPr>
              <w:rPr>
                <w:sz w:val="24"/>
                <w:szCs w:val="24"/>
              </w:rPr>
            </w:pPr>
            <w:r>
              <w:rPr>
                <w:sz w:val="24"/>
                <w:szCs w:val="24"/>
              </w:rPr>
              <w:t>18 Ga</w:t>
            </w:r>
          </w:p>
        </w:tc>
      </w:tr>
      <w:tr w:rsidR="00FD3516" w14:paraId="0F0E08AB" w14:textId="77777777" w:rsidTr="00FD3516">
        <w:trPr>
          <w:trHeight w:val="20"/>
        </w:trPr>
        <w:tc>
          <w:tcPr>
            <w:tcW w:w="2394" w:type="dxa"/>
          </w:tcPr>
          <w:p w14:paraId="0F0E08A7" w14:textId="77777777" w:rsidR="00FD3516" w:rsidRDefault="00FD3516" w:rsidP="00FD3516">
            <w:pPr>
              <w:rPr>
                <w:sz w:val="24"/>
                <w:szCs w:val="24"/>
              </w:rPr>
            </w:pPr>
            <w:r>
              <w:rPr>
                <w:sz w:val="24"/>
                <w:szCs w:val="24"/>
              </w:rPr>
              <w:t>Dual</w:t>
            </w:r>
          </w:p>
        </w:tc>
        <w:tc>
          <w:tcPr>
            <w:tcW w:w="2034" w:type="dxa"/>
          </w:tcPr>
          <w:p w14:paraId="0F0E08A8" w14:textId="77777777" w:rsidR="00FD3516" w:rsidRDefault="00FD3516" w:rsidP="00FD3516">
            <w:pPr>
              <w:rPr>
                <w:sz w:val="24"/>
                <w:szCs w:val="24"/>
              </w:rPr>
            </w:pPr>
            <w:r>
              <w:rPr>
                <w:sz w:val="24"/>
                <w:szCs w:val="24"/>
              </w:rPr>
              <w:t>5 Fr, TLS</w:t>
            </w:r>
          </w:p>
        </w:tc>
        <w:tc>
          <w:tcPr>
            <w:tcW w:w="2880" w:type="dxa"/>
            <w:gridSpan w:val="3"/>
          </w:tcPr>
          <w:p w14:paraId="0F0E08A9" w14:textId="77777777" w:rsidR="00FD3516" w:rsidRDefault="00FD3516" w:rsidP="00FD3516">
            <w:pPr>
              <w:rPr>
                <w:sz w:val="24"/>
                <w:szCs w:val="24"/>
              </w:rPr>
            </w:pPr>
            <w:r>
              <w:rPr>
                <w:sz w:val="24"/>
                <w:szCs w:val="24"/>
              </w:rPr>
              <w:t>0.35 mL</w:t>
            </w:r>
          </w:p>
        </w:tc>
        <w:tc>
          <w:tcPr>
            <w:tcW w:w="2268" w:type="dxa"/>
          </w:tcPr>
          <w:p w14:paraId="0F0E08AA" w14:textId="77777777" w:rsidR="00FD3516" w:rsidRDefault="00FD3516" w:rsidP="00FD3516">
            <w:pPr>
              <w:rPr>
                <w:sz w:val="24"/>
                <w:szCs w:val="24"/>
              </w:rPr>
            </w:pPr>
            <w:r>
              <w:rPr>
                <w:sz w:val="24"/>
                <w:szCs w:val="24"/>
              </w:rPr>
              <w:t>19 Ga</w:t>
            </w:r>
          </w:p>
        </w:tc>
      </w:tr>
      <w:tr w:rsidR="00FD3516" w14:paraId="0F0E08AD" w14:textId="77777777" w:rsidTr="00FD3516">
        <w:trPr>
          <w:trHeight w:val="20"/>
        </w:trPr>
        <w:tc>
          <w:tcPr>
            <w:tcW w:w="9576" w:type="dxa"/>
            <w:gridSpan w:val="6"/>
          </w:tcPr>
          <w:p w14:paraId="0F0E08AC" w14:textId="77777777" w:rsidR="00FD3516" w:rsidRPr="001F5A97" w:rsidRDefault="00FD3516" w:rsidP="00FD3516">
            <w:pPr>
              <w:rPr>
                <w:b/>
                <w:sz w:val="24"/>
                <w:szCs w:val="24"/>
              </w:rPr>
            </w:pPr>
            <w:r>
              <w:rPr>
                <w:b/>
                <w:sz w:val="24"/>
                <w:szCs w:val="24"/>
              </w:rPr>
              <w:t>Hemodialysis Catheters</w:t>
            </w:r>
          </w:p>
        </w:tc>
      </w:tr>
      <w:tr w:rsidR="00FD3516" w14:paraId="0F0E08AF" w14:textId="77777777" w:rsidTr="00FD3516">
        <w:trPr>
          <w:trHeight w:val="20"/>
        </w:trPr>
        <w:tc>
          <w:tcPr>
            <w:tcW w:w="9576" w:type="dxa"/>
            <w:gridSpan w:val="6"/>
          </w:tcPr>
          <w:p w14:paraId="0F0E08AE" w14:textId="77777777" w:rsidR="00FD3516" w:rsidRPr="001F5A97" w:rsidRDefault="00FD3516" w:rsidP="00FD3516">
            <w:pPr>
              <w:rPr>
                <w:sz w:val="24"/>
                <w:szCs w:val="24"/>
              </w:rPr>
            </w:pPr>
            <w:r>
              <w:rPr>
                <w:sz w:val="24"/>
                <w:szCs w:val="24"/>
              </w:rPr>
              <w:t xml:space="preserve">Refer to catheter for specific volumes. Priming volume is listed on the patient’s specific hemodialysis </w:t>
            </w:r>
            <w:proofErr w:type="gramStart"/>
            <w:r>
              <w:rPr>
                <w:sz w:val="24"/>
                <w:szCs w:val="24"/>
              </w:rPr>
              <w:t>catheter .</w:t>
            </w:r>
            <w:proofErr w:type="gramEnd"/>
            <w:r>
              <w:rPr>
                <w:sz w:val="24"/>
                <w:szCs w:val="24"/>
              </w:rPr>
              <w:t xml:space="preserve"> </w:t>
            </w:r>
          </w:p>
        </w:tc>
      </w:tr>
      <w:tr w:rsidR="00FD3516" w14:paraId="0F0E08B1" w14:textId="77777777" w:rsidTr="00FD3516">
        <w:trPr>
          <w:trHeight w:val="20"/>
        </w:trPr>
        <w:tc>
          <w:tcPr>
            <w:tcW w:w="9576" w:type="dxa"/>
            <w:gridSpan w:val="6"/>
          </w:tcPr>
          <w:p w14:paraId="0F0E08B0" w14:textId="77777777" w:rsidR="00FD3516" w:rsidRPr="00DE6721" w:rsidRDefault="00FD3516" w:rsidP="00FD3516">
            <w:pPr>
              <w:rPr>
                <w:b/>
                <w:sz w:val="24"/>
                <w:szCs w:val="24"/>
              </w:rPr>
            </w:pPr>
            <w:r w:rsidRPr="00DE6721">
              <w:rPr>
                <w:b/>
                <w:sz w:val="24"/>
                <w:szCs w:val="24"/>
              </w:rPr>
              <w:t>Ports</w:t>
            </w:r>
          </w:p>
        </w:tc>
      </w:tr>
      <w:tr w:rsidR="00FD3516" w14:paraId="0F0E08B6" w14:textId="77777777" w:rsidTr="00FD3516">
        <w:trPr>
          <w:trHeight w:val="20"/>
        </w:trPr>
        <w:tc>
          <w:tcPr>
            <w:tcW w:w="2394" w:type="dxa"/>
          </w:tcPr>
          <w:p w14:paraId="0F0E08B2" w14:textId="77777777" w:rsidR="00FD3516" w:rsidRDefault="00FD3516" w:rsidP="00FD3516">
            <w:pPr>
              <w:rPr>
                <w:sz w:val="24"/>
                <w:szCs w:val="24"/>
              </w:rPr>
            </w:pPr>
            <w:r w:rsidRPr="00913A80">
              <w:rPr>
                <w:sz w:val="24"/>
                <w:szCs w:val="24"/>
              </w:rPr>
              <w:t xml:space="preserve">Bard® </w:t>
            </w:r>
            <w:proofErr w:type="spellStart"/>
            <w:r w:rsidRPr="00913A80">
              <w:rPr>
                <w:sz w:val="24"/>
                <w:szCs w:val="24"/>
              </w:rPr>
              <w:t>SafeS</w:t>
            </w:r>
            <w:r>
              <w:rPr>
                <w:sz w:val="24"/>
                <w:szCs w:val="24"/>
              </w:rPr>
              <w:t>t</w:t>
            </w:r>
            <w:r w:rsidRPr="00913A80">
              <w:rPr>
                <w:sz w:val="24"/>
                <w:szCs w:val="24"/>
              </w:rPr>
              <w:t>ep</w:t>
            </w:r>
            <w:proofErr w:type="spellEnd"/>
            <w:r>
              <w:rPr>
                <w:sz w:val="24"/>
                <w:szCs w:val="24"/>
              </w:rPr>
              <w:t xml:space="preserve"> Huber Needle Set</w:t>
            </w:r>
          </w:p>
        </w:tc>
        <w:tc>
          <w:tcPr>
            <w:tcW w:w="2394" w:type="dxa"/>
            <w:gridSpan w:val="2"/>
          </w:tcPr>
          <w:p w14:paraId="0F0E08B3" w14:textId="77777777" w:rsidR="00FD3516" w:rsidRDefault="00FD3516" w:rsidP="00FD3516">
            <w:pPr>
              <w:rPr>
                <w:sz w:val="24"/>
                <w:szCs w:val="24"/>
              </w:rPr>
            </w:pPr>
            <w:r>
              <w:rPr>
                <w:sz w:val="24"/>
                <w:szCs w:val="24"/>
              </w:rPr>
              <w:t>N/A</w:t>
            </w:r>
          </w:p>
        </w:tc>
        <w:tc>
          <w:tcPr>
            <w:tcW w:w="2394" w:type="dxa"/>
          </w:tcPr>
          <w:p w14:paraId="0F0E08B4" w14:textId="77777777" w:rsidR="00FD3516" w:rsidRDefault="00FD3516" w:rsidP="00FD3516">
            <w:pPr>
              <w:rPr>
                <w:sz w:val="24"/>
                <w:szCs w:val="24"/>
              </w:rPr>
            </w:pPr>
            <w:r>
              <w:rPr>
                <w:sz w:val="24"/>
                <w:szCs w:val="24"/>
              </w:rPr>
              <w:t>0.7 mL</w:t>
            </w:r>
          </w:p>
        </w:tc>
        <w:tc>
          <w:tcPr>
            <w:tcW w:w="2394" w:type="dxa"/>
            <w:gridSpan w:val="2"/>
          </w:tcPr>
          <w:p w14:paraId="0F0E08B5" w14:textId="77777777" w:rsidR="00FD3516" w:rsidRDefault="00FD3516" w:rsidP="00FD3516">
            <w:pPr>
              <w:rPr>
                <w:sz w:val="24"/>
                <w:szCs w:val="24"/>
              </w:rPr>
            </w:pPr>
            <w:r>
              <w:rPr>
                <w:sz w:val="24"/>
                <w:szCs w:val="24"/>
              </w:rPr>
              <w:t>N/A</w:t>
            </w:r>
          </w:p>
        </w:tc>
      </w:tr>
    </w:tbl>
    <w:p w14:paraId="0F0E08B7" w14:textId="77777777" w:rsidR="00342A1A" w:rsidRPr="001F2881" w:rsidRDefault="00342A1A" w:rsidP="00342A1A">
      <w:pPr>
        <w:rPr>
          <w:rFonts w:cstheme="minorHAnsi"/>
          <w:sz w:val="24"/>
          <w:szCs w:val="24"/>
        </w:rPr>
      </w:pPr>
      <w:r w:rsidRPr="001F2881">
        <w:rPr>
          <w:rFonts w:cstheme="minorHAnsi"/>
          <w:b/>
          <w:sz w:val="24"/>
          <w:szCs w:val="24"/>
        </w:rPr>
        <w:t>References</w:t>
      </w:r>
    </w:p>
    <w:p w14:paraId="0DBB0874" w14:textId="5B3FF5D3" w:rsidR="001F2881" w:rsidRPr="001F2881" w:rsidRDefault="001F2881" w:rsidP="001F2881">
      <w:pPr>
        <w:pStyle w:val="ListParagraph"/>
        <w:numPr>
          <w:ilvl w:val="0"/>
          <w:numId w:val="28"/>
        </w:numPr>
        <w:rPr>
          <w:rFonts w:cstheme="minorHAnsi"/>
          <w:sz w:val="24"/>
          <w:szCs w:val="24"/>
        </w:rPr>
      </w:pPr>
      <w:r w:rsidRPr="001F2881">
        <w:rPr>
          <w:rFonts w:cstheme="minorHAnsi"/>
          <w:sz w:val="24"/>
          <w:szCs w:val="24"/>
        </w:rPr>
        <w:t xml:space="preserve">Bard Access Systems. https://www.bardaccess.com/products.php. © 2015 C.R. Bard, Inc. </w:t>
      </w:r>
    </w:p>
    <w:p w14:paraId="7FF452BE" w14:textId="77777777" w:rsidR="001F2881" w:rsidRPr="001F2881" w:rsidRDefault="001F2881" w:rsidP="001F2881">
      <w:pPr>
        <w:pStyle w:val="ListParagraph"/>
        <w:numPr>
          <w:ilvl w:val="0"/>
          <w:numId w:val="28"/>
        </w:numPr>
        <w:rPr>
          <w:rFonts w:cstheme="minorHAnsi"/>
          <w:color w:val="0F243E"/>
          <w:sz w:val="24"/>
          <w:szCs w:val="24"/>
          <w:lang w:val="en"/>
        </w:rPr>
      </w:pPr>
      <w:proofErr w:type="spellStart"/>
      <w:r w:rsidRPr="001F2881">
        <w:rPr>
          <w:rFonts w:cstheme="minorHAnsi"/>
          <w:color w:val="0F243E"/>
          <w:sz w:val="24"/>
          <w:szCs w:val="24"/>
          <w:lang w:val="en"/>
        </w:rPr>
        <w:lastRenderedPageBreak/>
        <w:t>Bookstaver</w:t>
      </w:r>
      <w:proofErr w:type="spellEnd"/>
      <w:r w:rsidRPr="001F2881">
        <w:rPr>
          <w:rFonts w:cstheme="minorHAnsi"/>
          <w:color w:val="0F243E"/>
          <w:sz w:val="24"/>
          <w:szCs w:val="24"/>
          <w:lang w:val="en"/>
        </w:rPr>
        <w:t xml:space="preserve"> PB, Williamson JC, Tucker BK, </w:t>
      </w:r>
      <w:proofErr w:type="spellStart"/>
      <w:r w:rsidRPr="001F2881">
        <w:rPr>
          <w:rFonts w:cstheme="minorHAnsi"/>
          <w:color w:val="0F243E"/>
          <w:sz w:val="24"/>
          <w:szCs w:val="24"/>
          <w:lang w:val="en"/>
        </w:rPr>
        <w:t>Raad</w:t>
      </w:r>
      <w:proofErr w:type="spellEnd"/>
      <w:r w:rsidRPr="001F2881">
        <w:rPr>
          <w:rFonts w:cstheme="minorHAnsi"/>
          <w:color w:val="0F243E"/>
          <w:sz w:val="24"/>
          <w:szCs w:val="24"/>
          <w:lang w:val="en"/>
        </w:rPr>
        <w:t xml:space="preserve"> II, </w:t>
      </w:r>
      <w:proofErr w:type="spellStart"/>
      <w:r w:rsidRPr="001F2881">
        <w:rPr>
          <w:rFonts w:cstheme="minorHAnsi"/>
          <w:color w:val="0F243E"/>
          <w:sz w:val="24"/>
          <w:szCs w:val="24"/>
          <w:lang w:val="en"/>
        </w:rPr>
        <w:t>Sherertz</w:t>
      </w:r>
      <w:proofErr w:type="spellEnd"/>
      <w:r w:rsidRPr="001F2881">
        <w:rPr>
          <w:rFonts w:cstheme="minorHAnsi"/>
          <w:color w:val="0F243E"/>
          <w:sz w:val="24"/>
          <w:szCs w:val="24"/>
          <w:lang w:val="en"/>
        </w:rPr>
        <w:t xml:space="preserve"> RJ. Activity of novel antibiotic lock solutions in a model against isolates of catheter-related bloodstream infections. Ann </w:t>
      </w:r>
      <w:proofErr w:type="spellStart"/>
      <w:r w:rsidRPr="001F2881">
        <w:rPr>
          <w:rFonts w:cstheme="minorHAnsi"/>
          <w:color w:val="0F243E"/>
          <w:sz w:val="24"/>
          <w:szCs w:val="24"/>
          <w:lang w:val="en"/>
        </w:rPr>
        <w:t>Pharmacother</w:t>
      </w:r>
      <w:proofErr w:type="spellEnd"/>
      <w:r w:rsidRPr="001F2881">
        <w:rPr>
          <w:rFonts w:cstheme="minorHAnsi"/>
          <w:color w:val="0F243E"/>
          <w:sz w:val="24"/>
          <w:szCs w:val="24"/>
          <w:lang w:val="en"/>
        </w:rPr>
        <w:t>. 2009</w:t>
      </w:r>
      <w:proofErr w:type="gramStart"/>
      <w:r w:rsidRPr="001F2881">
        <w:rPr>
          <w:rFonts w:cstheme="minorHAnsi"/>
          <w:color w:val="0F243E"/>
          <w:sz w:val="24"/>
          <w:szCs w:val="24"/>
          <w:lang w:val="en"/>
        </w:rPr>
        <w:t>;43</w:t>
      </w:r>
      <w:proofErr w:type="gramEnd"/>
      <w:r w:rsidRPr="001F2881">
        <w:rPr>
          <w:rFonts w:cstheme="minorHAnsi"/>
          <w:color w:val="0F243E"/>
          <w:sz w:val="24"/>
          <w:szCs w:val="24"/>
          <w:lang w:val="en"/>
        </w:rPr>
        <w:t>(2):210–219. [</w:t>
      </w:r>
      <w:hyperlink r:id="rId8" w:tgtFrame="pmc_ext" w:history="1">
        <w:r w:rsidRPr="001F2881">
          <w:rPr>
            <w:rStyle w:val="Hyperlink"/>
            <w:rFonts w:cstheme="minorHAnsi"/>
            <w:sz w:val="24"/>
            <w:szCs w:val="24"/>
            <w:lang w:val="en"/>
          </w:rPr>
          <w:t>PubMed</w:t>
        </w:r>
      </w:hyperlink>
      <w:r w:rsidRPr="001F2881">
        <w:rPr>
          <w:rFonts w:cstheme="minorHAnsi"/>
          <w:color w:val="0F243E"/>
          <w:sz w:val="24"/>
          <w:szCs w:val="24"/>
          <w:lang w:val="en"/>
        </w:rPr>
        <w:t>]</w:t>
      </w:r>
    </w:p>
    <w:p w14:paraId="63DD1DD7" w14:textId="77777777" w:rsidR="001F2881" w:rsidRPr="001F2881" w:rsidRDefault="001F2881" w:rsidP="001F2881">
      <w:pPr>
        <w:pStyle w:val="ListParagraph"/>
        <w:numPr>
          <w:ilvl w:val="0"/>
          <w:numId w:val="28"/>
        </w:numPr>
        <w:rPr>
          <w:rFonts w:cstheme="minorHAnsi"/>
          <w:sz w:val="24"/>
          <w:szCs w:val="24"/>
        </w:rPr>
      </w:pPr>
      <w:proofErr w:type="spellStart"/>
      <w:r w:rsidRPr="001F2881">
        <w:rPr>
          <w:rFonts w:cstheme="minorHAnsi"/>
          <w:sz w:val="24"/>
          <w:szCs w:val="24"/>
        </w:rPr>
        <w:t>Bookstaver</w:t>
      </w:r>
      <w:proofErr w:type="spellEnd"/>
      <w:r w:rsidRPr="001F2881">
        <w:rPr>
          <w:rFonts w:cstheme="minorHAnsi"/>
          <w:sz w:val="24"/>
          <w:szCs w:val="24"/>
        </w:rPr>
        <w:t xml:space="preserve"> PB, et al. Stability and compatibility of antimicrobial lock solutions. </w:t>
      </w:r>
      <w:r w:rsidRPr="001F2881">
        <w:rPr>
          <w:rFonts w:cstheme="minorHAnsi"/>
          <w:i/>
          <w:sz w:val="24"/>
          <w:szCs w:val="24"/>
        </w:rPr>
        <w:t>Am J Health-</w:t>
      </w:r>
      <w:proofErr w:type="spellStart"/>
      <w:r w:rsidRPr="001F2881">
        <w:rPr>
          <w:rFonts w:cstheme="minorHAnsi"/>
          <w:i/>
          <w:sz w:val="24"/>
          <w:szCs w:val="24"/>
        </w:rPr>
        <w:t>Syst</w:t>
      </w:r>
      <w:proofErr w:type="spellEnd"/>
      <w:r w:rsidRPr="001F2881">
        <w:rPr>
          <w:rFonts w:cstheme="minorHAnsi"/>
          <w:i/>
          <w:sz w:val="24"/>
          <w:szCs w:val="24"/>
        </w:rPr>
        <w:t xml:space="preserve"> Pharm</w:t>
      </w:r>
      <w:r w:rsidRPr="001F2881">
        <w:rPr>
          <w:rFonts w:cstheme="minorHAnsi"/>
          <w:sz w:val="24"/>
          <w:szCs w:val="24"/>
        </w:rPr>
        <w:t>. 2013 Dec 15</w:t>
      </w:r>
      <w:proofErr w:type="gramStart"/>
      <w:r w:rsidRPr="001F2881">
        <w:rPr>
          <w:rFonts w:cstheme="minorHAnsi"/>
          <w:sz w:val="24"/>
          <w:szCs w:val="24"/>
        </w:rPr>
        <w:t>;70:2185</w:t>
      </w:r>
      <w:proofErr w:type="gramEnd"/>
      <w:r w:rsidRPr="001F2881">
        <w:rPr>
          <w:rFonts w:cstheme="minorHAnsi"/>
          <w:sz w:val="24"/>
          <w:szCs w:val="24"/>
        </w:rPr>
        <w:t>-2198.</w:t>
      </w:r>
    </w:p>
    <w:p w14:paraId="62B77E3E" w14:textId="77777777" w:rsidR="001F2881" w:rsidRPr="001F2881" w:rsidRDefault="001F2881" w:rsidP="001F2881">
      <w:pPr>
        <w:pStyle w:val="ListParagraph"/>
        <w:numPr>
          <w:ilvl w:val="0"/>
          <w:numId w:val="28"/>
        </w:numPr>
        <w:rPr>
          <w:rStyle w:val="cit"/>
          <w:rFonts w:cstheme="minorHAnsi"/>
          <w:sz w:val="24"/>
          <w:szCs w:val="24"/>
        </w:rPr>
      </w:pPr>
      <w:r w:rsidRPr="001F2881">
        <w:rPr>
          <w:rFonts w:cstheme="minorHAnsi"/>
          <w:sz w:val="24"/>
          <w:szCs w:val="24"/>
        </w:rPr>
        <w:t xml:space="preserve">Justo JA, </w:t>
      </w:r>
      <w:proofErr w:type="spellStart"/>
      <w:r w:rsidRPr="001F2881">
        <w:rPr>
          <w:rFonts w:cstheme="minorHAnsi"/>
          <w:sz w:val="24"/>
          <w:szCs w:val="24"/>
        </w:rPr>
        <w:t>Bookstaver</w:t>
      </w:r>
      <w:proofErr w:type="spellEnd"/>
      <w:r w:rsidRPr="001F2881">
        <w:rPr>
          <w:rFonts w:cstheme="minorHAnsi"/>
          <w:sz w:val="24"/>
          <w:szCs w:val="24"/>
        </w:rPr>
        <w:t xml:space="preserve"> PB. Antibiotic lock therapy: review of technique and logistical challenges.</w:t>
      </w:r>
      <w:r w:rsidRPr="001F2881">
        <w:rPr>
          <w:rFonts w:cstheme="minorHAnsi"/>
          <w:i/>
          <w:sz w:val="24"/>
          <w:szCs w:val="24"/>
          <w:lang w:val="en"/>
        </w:rPr>
        <w:t xml:space="preserve"> </w:t>
      </w:r>
      <w:r w:rsidRPr="001F2881">
        <w:rPr>
          <w:rStyle w:val="cit"/>
          <w:rFonts w:cstheme="minorHAnsi"/>
          <w:i/>
          <w:sz w:val="24"/>
          <w:szCs w:val="24"/>
          <w:lang w:val="en"/>
        </w:rPr>
        <w:t xml:space="preserve">Infect Drug Resist. </w:t>
      </w:r>
      <w:r w:rsidRPr="001F2881">
        <w:rPr>
          <w:rStyle w:val="cit"/>
          <w:rFonts w:cstheme="minorHAnsi"/>
          <w:sz w:val="24"/>
          <w:szCs w:val="24"/>
          <w:lang w:val="en"/>
        </w:rPr>
        <w:t>2014; 7: 343–363.</w:t>
      </w:r>
    </w:p>
    <w:p w14:paraId="3473032A" w14:textId="77777777" w:rsidR="001F2881" w:rsidRPr="001F2881" w:rsidRDefault="001F2881" w:rsidP="001F2881">
      <w:pPr>
        <w:pStyle w:val="ListParagraph"/>
        <w:numPr>
          <w:ilvl w:val="0"/>
          <w:numId w:val="28"/>
        </w:numPr>
        <w:rPr>
          <w:rFonts w:cstheme="minorHAnsi"/>
          <w:sz w:val="24"/>
          <w:szCs w:val="24"/>
        </w:rPr>
      </w:pPr>
      <w:r w:rsidRPr="001F2881">
        <w:rPr>
          <w:rStyle w:val="cit"/>
          <w:rFonts w:cstheme="minorHAnsi"/>
          <w:sz w:val="24"/>
          <w:szCs w:val="24"/>
          <w:lang w:val="en"/>
        </w:rPr>
        <w:t xml:space="preserve">Kim EY, Saunders P, et al. Usefulness of anti-infective lock solutions for catheter-related bloodstream infections. </w:t>
      </w:r>
      <w:hyperlink r:id="rId9" w:tooltip="The Mount Sinai journal of medicine, New York." w:history="1">
        <w:r w:rsidRPr="001F2881">
          <w:rPr>
            <w:rFonts w:eastAsia="Times New Roman" w:cstheme="minorHAnsi"/>
            <w:i/>
            <w:sz w:val="24"/>
            <w:szCs w:val="24"/>
          </w:rPr>
          <w:t>Mt Sinai J Med</w:t>
        </w:r>
        <w:r w:rsidRPr="001F2881">
          <w:rPr>
            <w:rFonts w:eastAsia="Times New Roman" w:cstheme="minorHAnsi"/>
            <w:sz w:val="24"/>
            <w:szCs w:val="24"/>
          </w:rPr>
          <w:t>.</w:t>
        </w:r>
      </w:hyperlink>
      <w:r w:rsidRPr="001F2881">
        <w:rPr>
          <w:rFonts w:eastAsia="Times New Roman" w:cstheme="minorHAnsi"/>
          <w:sz w:val="24"/>
          <w:szCs w:val="24"/>
        </w:rPr>
        <w:t xml:space="preserve"> 2010 Sep-Oct</w:t>
      </w:r>
      <w:proofErr w:type="gramStart"/>
      <w:r w:rsidRPr="001F2881">
        <w:rPr>
          <w:rFonts w:eastAsia="Times New Roman" w:cstheme="minorHAnsi"/>
          <w:sz w:val="24"/>
          <w:szCs w:val="24"/>
        </w:rPr>
        <w:t>;77</w:t>
      </w:r>
      <w:proofErr w:type="gramEnd"/>
      <w:r w:rsidRPr="001F2881">
        <w:rPr>
          <w:rFonts w:eastAsia="Times New Roman" w:cstheme="minorHAnsi"/>
          <w:sz w:val="24"/>
          <w:szCs w:val="24"/>
        </w:rPr>
        <w:t xml:space="preserve">(5):549-58. </w:t>
      </w:r>
      <w:proofErr w:type="gramStart"/>
      <w:r w:rsidRPr="001F2881">
        <w:rPr>
          <w:rFonts w:eastAsia="Times New Roman" w:cstheme="minorHAnsi"/>
          <w:sz w:val="24"/>
          <w:szCs w:val="24"/>
        </w:rPr>
        <w:t>doi:</w:t>
      </w:r>
      <w:proofErr w:type="gramEnd"/>
      <w:r w:rsidRPr="001F2881">
        <w:rPr>
          <w:rFonts w:eastAsia="Times New Roman" w:cstheme="minorHAnsi"/>
          <w:sz w:val="24"/>
          <w:szCs w:val="24"/>
        </w:rPr>
        <w:t>101002/msj.20213.</w:t>
      </w:r>
      <w:r w:rsidRPr="001F2881">
        <w:rPr>
          <w:rFonts w:cstheme="minorHAnsi"/>
          <w:sz w:val="24"/>
          <w:szCs w:val="24"/>
        </w:rPr>
        <w:t xml:space="preserve"> </w:t>
      </w:r>
    </w:p>
    <w:p w14:paraId="0F0E08B8" w14:textId="59DCFBF7" w:rsidR="00342A1A" w:rsidRPr="001F2881" w:rsidRDefault="00342A1A" w:rsidP="001F2881">
      <w:pPr>
        <w:pStyle w:val="ListParagraph"/>
        <w:numPr>
          <w:ilvl w:val="0"/>
          <w:numId w:val="28"/>
        </w:numPr>
        <w:rPr>
          <w:rFonts w:cstheme="minorHAnsi"/>
          <w:sz w:val="24"/>
          <w:szCs w:val="24"/>
        </w:rPr>
      </w:pPr>
      <w:proofErr w:type="spellStart"/>
      <w:r w:rsidRPr="001F2881">
        <w:rPr>
          <w:rFonts w:cstheme="minorHAnsi"/>
          <w:sz w:val="24"/>
          <w:szCs w:val="24"/>
        </w:rPr>
        <w:t>Mermel</w:t>
      </w:r>
      <w:proofErr w:type="spellEnd"/>
      <w:r w:rsidRPr="001F2881">
        <w:rPr>
          <w:rFonts w:cstheme="minorHAnsi"/>
          <w:sz w:val="24"/>
          <w:szCs w:val="24"/>
        </w:rPr>
        <w:t xml:space="preserve"> LA, </w:t>
      </w:r>
      <w:proofErr w:type="spellStart"/>
      <w:r w:rsidRPr="001F2881">
        <w:rPr>
          <w:rFonts w:cstheme="minorHAnsi"/>
          <w:sz w:val="24"/>
          <w:szCs w:val="24"/>
        </w:rPr>
        <w:t>Allon</w:t>
      </w:r>
      <w:proofErr w:type="spellEnd"/>
      <w:r w:rsidRPr="001F2881">
        <w:rPr>
          <w:rFonts w:cstheme="minorHAnsi"/>
          <w:sz w:val="24"/>
          <w:szCs w:val="24"/>
        </w:rPr>
        <w:t xml:space="preserve"> M, </w:t>
      </w:r>
      <w:proofErr w:type="spellStart"/>
      <w:r w:rsidRPr="001F2881">
        <w:rPr>
          <w:rFonts w:cstheme="minorHAnsi"/>
          <w:sz w:val="24"/>
          <w:szCs w:val="24"/>
        </w:rPr>
        <w:t>Bouza</w:t>
      </w:r>
      <w:proofErr w:type="spellEnd"/>
      <w:r w:rsidRPr="001F2881">
        <w:rPr>
          <w:rFonts w:cstheme="minorHAnsi"/>
          <w:sz w:val="24"/>
          <w:szCs w:val="24"/>
        </w:rPr>
        <w:t xml:space="preserve"> E, et al. Clinical practice guidelines for the diagnosis and management of intravascular catheter-related infection: 2009 Update by the Infectious Diseases Society of America. </w:t>
      </w:r>
      <w:proofErr w:type="spellStart"/>
      <w:r w:rsidRPr="001F2881">
        <w:rPr>
          <w:rFonts w:cstheme="minorHAnsi"/>
          <w:i/>
          <w:iCs/>
          <w:sz w:val="24"/>
          <w:szCs w:val="24"/>
        </w:rPr>
        <w:t>Clin</w:t>
      </w:r>
      <w:proofErr w:type="spellEnd"/>
      <w:r w:rsidRPr="001F2881">
        <w:rPr>
          <w:rFonts w:cstheme="minorHAnsi"/>
          <w:i/>
          <w:iCs/>
          <w:sz w:val="24"/>
          <w:szCs w:val="24"/>
        </w:rPr>
        <w:t xml:space="preserve"> Infect Dis. </w:t>
      </w:r>
      <w:r w:rsidRPr="001F2881">
        <w:rPr>
          <w:rFonts w:cstheme="minorHAnsi"/>
          <w:sz w:val="24"/>
          <w:szCs w:val="24"/>
        </w:rPr>
        <w:t>Jul 1 2009</w:t>
      </w:r>
      <w:proofErr w:type="gramStart"/>
      <w:r w:rsidRPr="001F2881">
        <w:rPr>
          <w:rFonts w:cstheme="minorHAnsi"/>
          <w:sz w:val="24"/>
          <w:szCs w:val="24"/>
        </w:rPr>
        <w:t>;49</w:t>
      </w:r>
      <w:proofErr w:type="gramEnd"/>
      <w:r w:rsidRPr="001F2881">
        <w:rPr>
          <w:rFonts w:cstheme="minorHAnsi"/>
          <w:sz w:val="24"/>
          <w:szCs w:val="24"/>
        </w:rPr>
        <w:t>(1):1-45.</w:t>
      </w:r>
    </w:p>
    <w:p w14:paraId="06F2CB73" w14:textId="05A6F0A0" w:rsidR="00D15EAE" w:rsidRPr="00D15EAE" w:rsidRDefault="00D15EAE" w:rsidP="00D15EAE">
      <w:pPr>
        <w:ind w:left="360"/>
        <w:rPr>
          <w:rFonts w:ascii="Arial" w:hAnsi="Arial" w:cs="Arial"/>
          <w:color w:val="0F243E"/>
          <w:sz w:val="20"/>
          <w:szCs w:val="20"/>
        </w:rPr>
      </w:pPr>
    </w:p>
    <w:p w14:paraId="0F0E08BD" w14:textId="77777777" w:rsidR="00C06146" w:rsidRPr="001742EE" w:rsidRDefault="00C06146" w:rsidP="00A80564">
      <w:pPr>
        <w:rPr>
          <w:sz w:val="24"/>
          <w:szCs w:val="24"/>
        </w:rPr>
      </w:pPr>
    </w:p>
    <w:sectPr w:rsidR="00C06146" w:rsidRPr="001742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E08C0" w14:textId="77777777" w:rsidR="00024557" w:rsidRDefault="00024557" w:rsidP="00A80564">
      <w:pPr>
        <w:spacing w:after="0" w:line="240" w:lineRule="auto"/>
      </w:pPr>
      <w:r>
        <w:separator/>
      </w:r>
    </w:p>
  </w:endnote>
  <w:endnote w:type="continuationSeparator" w:id="0">
    <w:p w14:paraId="0F0E08C1" w14:textId="77777777" w:rsidR="00024557" w:rsidRDefault="00024557" w:rsidP="00A8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9C51B" w14:textId="77777777" w:rsidR="00B86398" w:rsidRDefault="00B86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08C2" w14:textId="7EBEA782" w:rsidR="00355051" w:rsidRDefault="00355051" w:rsidP="00A80564">
    <w:pPr>
      <w:pStyle w:val="Footer"/>
      <w:jc w:val="right"/>
    </w:pPr>
    <w:r>
      <w:t>Prepared by Jay M Patel</w:t>
    </w:r>
    <w:r w:rsidR="00B86398">
      <w:t xml:space="preserve">/ </w:t>
    </w:r>
    <w:proofErr w:type="gramStart"/>
    <w:r w:rsidR="00B86398">
      <w:t xml:space="preserve">Last </w:t>
    </w:r>
    <w:r w:rsidR="00057499">
      <w:t xml:space="preserve"> Revised</w:t>
    </w:r>
    <w:proofErr w:type="gramEnd"/>
    <w:r w:rsidR="00057499">
      <w:t xml:space="preserve"> 11/1/2019</w:t>
    </w:r>
    <w:r w:rsidR="00B86398">
      <w:t xml:space="preserve">/ Last reviewed </w:t>
    </w:r>
    <w:r w:rsidR="00B86398">
      <w:t>4/2/2021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DBAA" w14:textId="77777777" w:rsidR="00B86398" w:rsidRDefault="00B86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08BE" w14:textId="77777777" w:rsidR="00024557" w:rsidRDefault="00024557" w:rsidP="00A80564">
      <w:pPr>
        <w:spacing w:after="0" w:line="240" w:lineRule="auto"/>
      </w:pPr>
      <w:r>
        <w:separator/>
      </w:r>
    </w:p>
  </w:footnote>
  <w:footnote w:type="continuationSeparator" w:id="0">
    <w:p w14:paraId="0F0E08BF" w14:textId="77777777" w:rsidR="00024557" w:rsidRDefault="00024557" w:rsidP="00A8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540D9" w14:textId="77777777" w:rsidR="00B86398" w:rsidRDefault="00B86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E9CAE" w14:textId="77777777" w:rsidR="00B86398" w:rsidRDefault="00B863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7C52" w14:textId="77777777" w:rsidR="00B86398" w:rsidRDefault="00B86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A0A5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656F7"/>
    <w:multiLevelType w:val="hybridMultilevel"/>
    <w:tmpl w:val="DA2C6FC8"/>
    <w:lvl w:ilvl="0" w:tplc="A52656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750D"/>
    <w:multiLevelType w:val="hybridMultilevel"/>
    <w:tmpl w:val="7BCCC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95F2A"/>
    <w:multiLevelType w:val="hybridMultilevel"/>
    <w:tmpl w:val="59A6CB7A"/>
    <w:lvl w:ilvl="0" w:tplc="10DAD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41A1"/>
    <w:multiLevelType w:val="hybridMultilevel"/>
    <w:tmpl w:val="0B8091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1639C"/>
    <w:multiLevelType w:val="hybridMultilevel"/>
    <w:tmpl w:val="C18C97F6"/>
    <w:lvl w:ilvl="0" w:tplc="586695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0BA9"/>
    <w:multiLevelType w:val="hybridMultilevel"/>
    <w:tmpl w:val="7098FD0A"/>
    <w:lvl w:ilvl="0" w:tplc="3656FB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127FC"/>
    <w:multiLevelType w:val="hybridMultilevel"/>
    <w:tmpl w:val="BECE768A"/>
    <w:lvl w:ilvl="0" w:tplc="375AD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9078C"/>
    <w:multiLevelType w:val="hybridMultilevel"/>
    <w:tmpl w:val="DE8EA96C"/>
    <w:lvl w:ilvl="0" w:tplc="3C003900">
      <w:start w:val="1"/>
      <w:numFmt w:val="upperRoman"/>
      <w:lvlText w:val="%1."/>
      <w:lvlJc w:val="left"/>
      <w:pPr>
        <w:ind w:left="1080" w:hanging="720"/>
      </w:pPr>
      <w:rPr>
        <w:rFonts w:hint="default"/>
        <w:b/>
      </w:rPr>
    </w:lvl>
    <w:lvl w:ilvl="1" w:tplc="44A622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D7ACB"/>
    <w:multiLevelType w:val="hybridMultilevel"/>
    <w:tmpl w:val="310C2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DE0815"/>
    <w:multiLevelType w:val="hybridMultilevel"/>
    <w:tmpl w:val="464E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813E4"/>
    <w:multiLevelType w:val="hybridMultilevel"/>
    <w:tmpl w:val="7B9C7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637A15"/>
    <w:multiLevelType w:val="hybridMultilevel"/>
    <w:tmpl w:val="DE8EA96C"/>
    <w:lvl w:ilvl="0" w:tplc="3C003900">
      <w:start w:val="1"/>
      <w:numFmt w:val="upperRoman"/>
      <w:lvlText w:val="%1."/>
      <w:lvlJc w:val="left"/>
      <w:pPr>
        <w:ind w:left="1080" w:hanging="720"/>
      </w:pPr>
      <w:rPr>
        <w:rFonts w:hint="default"/>
        <w:b/>
      </w:rPr>
    </w:lvl>
    <w:lvl w:ilvl="1" w:tplc="44A622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C1C82"/>
    <w:multiLevelType w:val="hybridMultilevel"/>
    <w:tmpl w:val="DBAC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91FFC"/>
    <w:multiLevelType w:val="hybridMultilevel"/>
    <w:tmpl w:val="2B92E8BA"/>
    <w:lvl w:ilvl="0" w:tplc="A90263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64B84"/>
    <w:multiLevelType w:val="hybridMultilevel"/>
    <w:tmpl w:val="80EA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347AF"/>
    <w:multiLevelType w:val="hybridMultilevel"/>
    <w:tmpl w:val="B370773C"/>
    <w:lvl w:ilvl="0" w:tplc="A830CD3A">
      <w:start w:val="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950C4"/>
    <w:multiLevelType w:val="hybridMultilevel"/>
    <w:tmpl w:val="784C6F64"/>
    <w:lvl w:ilvl="0" w:tplc="4FE0D2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207CC"/>
    <w:multiLevelType w:val="hybridMultilevel"/>
    <w:tmpl w:val="59A6CB7A"/>
    <w:lvl w:ilvl="0" w:tplc="10DAD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51F6B"/>
    <w:multiLevelType w:val="hybridMultilevel"/>
    <w:tmpl w:val="90BAA6F0"/>
    <w:lvl w:ilvl="0" w:tplc="6B2ABC34">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34A49"/>
    <w:multiLevelType w:val="hybridMultilevel"/>
    <w:tmpl w:val="ACFEF758"/>
    <w:lvl w:ilvl="0" w:tplc="17CA2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35D81"/>
    <w:multiLevelType w:val="hybridMultilevel"/>
    <w:tmpl w:val="874AB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667B2"/>
    <w:multiLevelType w:val="hybridMultilevel"/>
    <w:tmpl w:val="76B21326"/>
    <w:lvl w:ilvl="0" w:tplc="81E498A4">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5F6C03E0"/>
    <w:multiLevelType w:val="hybridMultilevel"/>
    <w:tmpl w:val="19E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1D"/>
    <w:multiLevelType w:val="hybridMultilevel"/>
    <w:tmpl w:val="A4EECCDC"/>
    <w:lvl w:ilvl="0" w:tplc="8696C504">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55D19"/>
    <w:multiLevelType w:val="hybridMultilevel"/>
    <w:tmpl w:val="BA1C7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92C18"/>
    <w:multiLevelType w:val="hybridMultilevel"/>
    <w:tmpl w:val="8C52C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543030"/>
    <w:multiLevelType w:val="hybridMultilevel"/>
    <w:tmpl w:val="BFE43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4D2029"/>
    <w:multiLevelType w:val="hybridMultilevel"/>
    <w:tmpl w:val="7A9C4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D1366"/>
    <w:multiLevelType w:val="hybridMultilevel"/>
    <w:tmpl w:val="E0A6C592"/>
    <w:lvl w:ilvl="0" w:tplc="813EB05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28"/>
  </w:num>
  <w:num w:numId="4">
    <w:abstractNumId w:val="23"/>
  </w:num>
  <w:num w:numId="5">
    <w:abstractNumId w:val="21"/>
  </w:num>
  <w:num w:numId="6">
    <w:abstractNumId w:val="10"/>
  </w:num>
  <w:num w:numId="7">
    <w:abstractNumId w:val="22"/>
  </w:num>
  <w:num w:numId="8">
    <w:abstractNumId w:val="15"/>
  </w:num>
  <w:num w:numId="9">
    <w:abstractNumId w:val="7"/>
  </w:num>
  <w:num w:numId="10">
    <w:abstractNumId w:val="1"/>
  </w:num>
  <w:num w:numId="11">
    <w:abstractNumId w:val="20"/>
  </w:num>
  <w:num w:numId="12">
    <w:abstractNumId w:val="14"/>
  </w:num>
  <w:num w:numId="13">
    <w:abstractNumId w:val="6"/>
  </w:num>
  <w:num w:numId="14">
    <w:abstractNumId w:val="5"/>
  </w:num>
  <w:num w:numId="15">
    <w:abstractNumId w:val="17"/>
  </w:num>
  <w:num w:numId="16">
    <w:abstractNumId w:val="8"/>
  </w:num>
  <w:num w:numId="17">
    <w:abstractNumId w:val="3"/>
  </w:num>
  <w:num w:numId="18">
    <w:abstractNumId w:val="18"/>
  </w:num>
  <w:num w:numId="19">
    <w:abstractNumId w:val="26"/>
  </w:num>
  <w:num w:numId="20">
    <w:abstractNumId w:val="2"/>
  </w:num>
  <w:num w:numId="21">
    <w:abstractNumId w:val="9"/>
  </w:num>
  <w:num w:numId="22">
    <w:abstractNumId w:val="27"/>
  </w:num>
  <w:num w:numId="23">
    <w:abstractNumId w:val="11"/>
  </w:num>
  <w:num w:numId="24">
    <w:abstractNumId w:val="29"/>
  </w:num>
  <w:num w:numId="25">
    <w:abstractNumId w:val="0"/>
  </w:num>
  <w:num w:numId="26">
    <w:abstractNumId w:val="25"/>
  </w:num>
  <w:num w:numId="27">
    <w:abstractNumId w:val="4"/>
  </w:num>
  <w:num w:numId="28">
    <w:abstractNumId w:val="13"/>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BA0"/>
    <w:rsid w:val="000209A9"/>
    <w:rsid w:val="00024557"/>
    <w:rsid w:val="00057499"/>
    <w:rsid w:val="00057E3E"/>
    <w:rsid w:val="0006142F"/>
    <w:rsid w:val="00064A08"/>
    <w:rsid w:val="00095610"/>
    <w:rsid w:val="000961C7"/>
    <w:rsid w:val="000A3FF3"/>
    <w:rsid w:val="000C3AAE"/>
    <w:rsid w:val="000E7D9B"/>
    <w:rsid w:val="00107EB8"/>
    <w:rsid w:val="0014107A"/>
    <w:rsid w:val="00142B79"/>
    <w:rsid w:val="001742EE"/>
    <w:rsid w:val="00177EA0"/>
    <w:rsid w:val="001948F9"/>
    <w:rsid w:val="001A73AE"/>
    <w:rsid w:val="001B0BF1"/>
    <w:rsid w:val="001D11DA"/>
    <w:rsid w:val="001F2881"/>
    <w:rsid w:val="001F5A97"/>
    <w:rsid w:val="00203E25"/>
    <w:rsid w:val="002105B5"/>
    <w:rsid w:val="00232168"/>
    <w:rsid w:val="00235137"/>
    <w:rsid w:val="00255BB6"/>
    <w:rsid w:val="0026744E"/>
    <w:rsid w:val="002750ED"/>
    <w:rsid w:val="002821DF"/>
    <w:rsid w:val="00287621"/>
    <w:rsid w:val="002E2678"/>
    <w:rsid w:val="002E7878"/>
    <w:rsid w:val="0031733D"/>
    <w:rsid w:val="00342A1A"/>
    <w:rsid w:val="00344505"/>
    <w:rsid w:val="00351F60"/>
    <w:rsid w:val="00355051"/>
    <w:rsid w:val="0036202E"/>
    <w:rsid w:val="003643F0"/>
    <w:rsid w:val="00365795"/>
    <w:rsid w:val="0036783B"/>
    <w:rsid w:val="003817B6"/>
    <w:rsid w:val="00387385"/>
    <w:rsid w:val="00392461"/>
    <w:rsid w:val="003B279B"/>
    <w:rsid w:val="003C0EC8"/>
    <w:rsid w:val="003E162C"/>
    <w:rsid w:val="003F3286"/>
    <w:rsid w:val="003F52AC"/>
    <w:rsid w:val="00407680"/>
    <w:rsid w:val="00427803"/>
    <w:rsid w:val="004967FC"/>
    <w:rsid w:val="004B6761"/>
    <w:rsid w:val="004F7AE6"/>
    <w:rsid w:val="00520B68"/>
    <w:rsid w:val="0054013F"/>
    <w:rsid w:val="00560255"/>
    <w:rsid w:val="0056297E"/>
    <w:rsid w:val="0056553D"/>
    <w:rsid w:val="005679FF"/>
    <w:rsid w:val="0057541B"/>
    <w:rsid w:val="005845E8"/>
    <w:rsid w:val="00593072"/>
    <w:rsid w:val="005A4C9D"/>
    <w:rsid w:val="005A5077"/>
    <w:rsid w:val="005B0F4D"/>
    <w:rsid w:val="005B4DA0"/>
    <w:rsid w:val="005B7014"/>
    <w:rsid w:val="005F16EE"/>
    <w:rsid w:val="005F5FF8"/>
    <w:rsid w:val="00601340"/>
    <w:rsid w:val="00604FB0"/>
    <w:rsid w:val="00610208"/>
    <w:rsid w:val="006C74F4"/>
    <w:rsid w:val="006C7CC2"/>
    <w:rsid w:val="006D2AC6"/>
    <w:rsid w:val="006E4C1D"/>
    <w:rsid w:val="0070735D"/>
    <w:rsid w:val="00710C6C"/>
    <w:rsid w:val="007177EC"/>
    <w:rsid w:val="00737438"/>
    <w:rsid w:val="007675E9"/>
    <w:rsid w:val="00771AA9"/>
    <w:rsid w:val="00777DA2"/>
    <w:rsid w:val="007A58DB"/>
    <w:rsid w:val="007E3060"/>
    <w:rsid w:val="007E4413"/>
    <w:rsid w:val="00832AAB"/>
    <w:rsid w:val="00851EE4"/>
    <w:rsid w:val="008956D5"/>
    <w:rsid w:val="008A7A41"/>
    <w:rsid w:val="008B7DD7"/>
    <w:rsid w:val="00913A80"/>
    <w:rsid w:val="00935BB2"/>
    <w:rsid w:val="00947742"/>
    <w:rsid w:val="00961AC3"/>
    <w:rsid w:val="009B0CCB"/>
    <w:rsid w:val="009B6AC6"/>
    <w:rsid w:val="009E37CB"/>
    <w:rsid w:val="00A11C0A"/>
    <w:rsid w:val="00A31EE4"/>
    <w:rsid w:val="00A53E89"/>
    <w:rsid w:val="00A67690"/>
    <w:rsid w:val="00A80564"/>
    <w:rsid w:val="00A8121C"/>
    <w:rsid w:val="00AB234E"/>
    <w:rsid w:val="00AD433C"/>
    <w:rsid w:val="00AE2A21"/>
    <w:rsid w:val="00AF3AA1"/>
    <w:rsid w:val="00B10347"/>
    <w:rsid w:val="00B125EA"/>
    <w:rsid w:val="00B41CCE"/>
    <w:rsid w:val="00B61EA4"/>
    <w:rsid w:val="00B7007F"/>
    <w:rsid w:val="00B81810"/>
    <w:rsid w:val="00B84E98"/>
    <w:rsid w:val="00B86398"/>
    <w:rsid w:val="00BC355D"/>
    <w:rsid w:val="00BD3E5C"/>
    <w:rsid w:val="00C0079F"/>
    <w:rsid w:val="00C06146"/>
    <w:rsid w:val="00C35DF3"/>
    <w:rsid w:val="00C47728"/>
    <w:rsid w:val="00C517F5"/>
    <w:rsid w:val="00C57BA0"/>
    <w:rsid w:val="00C74B1E"/>
    <w:rsid w:val="00CA78B5"/>
    <w:rsid w:val="00CB7B31"/>
    <w:rsid w:val="00CC43E7"/>
    <w:rsid w:val="00CC5A28"/>
    <w:rsid w:val="00D022C3"/>
    <w:rsid w:val="00D15EAE"/>
    <w:rsid w:val="00D30EF3"/>
    <w:rsid w:val="00D32EFC"/>
    <w:rsid w:val="00D437E9"/>
    <w:rsid w:val="00D50269"/>
    <w:rsid w:val="00D93B51"/>
    <w:rsid w:val="00DA153E"/>
    <w:rsid w:val="00DC2AA6"/>
    <w:rsid w:val="00DC7D21"/>
    <w:rsid w:val="00DD1171"/>
    <w:rsid w:val="00DD3632"/>
    <w:rsid w:val="00DD55C0"/>
    <w:rsid w:val="00DE34E9"/>
    <w:rsid w:val="00DE6721"/>
    <w:rsid w:val="00E13F91"/>
    <w:rsid w:val="00E14689"/>
    <w:rsid w:val="00E203AC"/>
    <w:rsid w:val="00E40E54"/>
    <w:rsid w:val="00E57508"/>
    <w:rsid w:val="00E8445D"/>
    <w:rsid w:val="00E93C1B"/>
    <w:rsid w:val="00EA0AB4"/>
    <w:rsid w:val="00EA365C"/>
    <w:rsid w:val="00ED7B44"/>
    <w:rsid w:val="00EE1BE0"/>
    <w:rsid w:val="00F1687B"/>
    <w:rsid w:val="00F34E55"/>
    <w:rsid w:val="00F41268"/>
    <w:rsid w:val="00F4420B"/>
    <w:rsid w:val="00F461EA"/>
    <w:rsid w:val="00F60810"/>
    <w:rsid w:val="00F66AEA"/>
    <w:rsid w:val="00F7211E"/>
    <w:rsid w:val="00F85693"/>
    <w:rsid w:val="00FA3D08"/>
    <w:rsid w:val="00FA6CB1"/>
    <w:rsid w:val="00FD231C"/>
    <w:rsid w:val="00FD3516"/>
    <w:rsid w:val="00FD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0713"/>
  <w15:docId w15:val="{B1DE60FB-5634-4102-910C-5BFAB29D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BA0"/>
    <w:pPr>
      <w:ind w:left="720"/>
      <w:contextualSpacing/>
    </w:pPr>
  </w:style>
  <w:style w:type="table" w:styleId="TableGrid">
    <w:name w:val="Table Grid"/>
    <w:basedOn w:val="TableNormal"/>
    <w:uiPriority w:val="59"/>
    <w:rsid w:val="00C5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57B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57B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it">
    <w:name w:val="cit"/>
    <w:basedOn w:val="DefaultParagraphFont"/>
    <w:rsid w:val="00F41268"/>
  </w:style>
  <w:style w:type="paragraph" w:styleId="BalloonText">
    <w:name w:val="Balloon Text"/>
    <w:basedOn w:val="Normal"/>
    <w:link w:val="BalloonTextChar"/>
    <w:uiPriority w:val="99"/>
    <w:semiHidden/>
    <w:unhideWhenUsed/>
    <w:rsid w:val="00AD4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33C"/>
    <w:rPr>
      <w:rFonts w:ascii="Tahoma" w:hAnsi="Tahoma" w:cs="Tahoma"/>
      <w:sz w:val="16"/>
      <w:szCs w:val="16"/>
    </w:rPr>
  </w:style>
  <w:style w:type="paragraph" w:styleId="Header">
    <w:name w:val="header"/>
    <w:basedOn w:val="Normal"/>
    <w:link w:val="HeaderChar"/>
    <w:uiPriority w:val="99"/>
    <w:unhideWhenUsed/>
    <w:rsid w:val="00A8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564"/>
  </w:style>
  <w:style w:type="paragraph" w:styleId="Footer">
    <w:name w:val="footer"/>
    <w:basedOn w:val="Normal"/>
    <w:link w:val="FooterChar"/>
    <w:uiPriority w:val="99"/>
    <w:unhideWhenUsed/>
    <w:rsid w:val="00A8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64"/>
  </w:style>
  <w:style w:type="paragraph" w:styleId="ListBullet">
    <w:name w:val="List Bullet"/>
    <w:basedOn w:val="Normal"/>
    <w:uiPriority w:val="99"/>
    <w:unhideWhenUsed/>
    <w:rsid w:val="007177EC"/>
    <w:pPr>
      <w:numPr>
        <w:numId w:val="25"/>
      </w:numPr>
      <w:contextualSpacing/>
    </w:pPr>
  </w:style>
  <w:style w:type="character" w:styleId="Hyperlink">
    <w:name w:val="Hyperlink"/>
    <w:basedOn w:val="DefaultParagraphFont"/>
    <w:uiPriority w:val="99"/>
    <w:unhideWhenUsed/>
    <w:rsid w:val="005A4C9D"/>
    <w:rPr>
      <w:color w:val="0000FF" w:themeColor="hyperlink"/>
      <w:u w:val="single"/>
    </w:rPr>
  </w:style>
  <w:style w:type="character" w:styleId="CommentReference">
    <w:name w:val="annotation reference"/>
    <w:basedOn w:val="DefaultParagraphFont"/>
    <w:uiPriority w:val="99"/>
    <w:semiHidden/>
    <w:unhideWhenUsed/>
    <w:rsid w:val="00232168"/>
    <w:rPr>
      <w:sz w:val="16"/>
      <w:szCs w:val="16"/>
    </w:rPr>
  </w:style>
  <w:style w:type="paragraph" w:styleId="CommentText">
    <w:name w:val="annotation text"/>
    <w:basedOn w:val="Normal"/>
    <w:link w:val="CommentTextChar"/>
    <w:uiPriority w:val="99"/>
    <w:semiHidden/>
    <w:unhideWhenUsed/>
    <w:rsid w:val="00232168"/>
    <w:pPr>
      <w:spacing w:line="240" w:lineRule="auto"/>
    </w:pPr>
    <w:rPr>
      <w:sz w:val="20"/>
      <w:szCs w:val="20"/>
    </w:rPr>
  </w:style>
  <w:style w:type="character" w:customStyle="1" w:styleId="CommentTextChar">
    <w:name w:val="Comment Text Char"/>
    <w:basedOn w:val="DefaultParagraphFont"/>
    <w:link w:val="CommentText"/>
    <w:uiPriority w:val="99"/>
    <w:semiHidden/>
    <w:rsid w:val="00232168"/>
    <w:rPr>
      <w:sz w:val="20"/>
      <w:szCs w:val="20"/>
    </w:rPr>
  </w:style>
  <w:style w:type="paragraph" w:styleId="CommentSubject">
    <w:name w:val="annotation subject"/>
    <w:basedOn w:val="CommentText"/>
    <w:next w:val="CommentText"/>
    <w:link w:val="CommentSubjectChar"/>
    <w:uiPriority w:val="99"/>
    <w:semiHidden/>
    <w:unhideWhenUsed/>
    <w:rsid w:val="00232168"/>
    <w:rPr>
      <w:b/>
      <w:bCs/>
    </w:rPr>
  </w:style>
  <w:style w:type="character" w:customStyle="1" w:styleId="CommentSubjectChar">
    <w:name w:val="Comment Subject Char"/>
    <w:basedOn w:val="CommentTextChar"/>
    <w:link w:val="CommentSubject"/>
    <w:uiPriority w:val="99"/>
    <w:semiHidden/>
    <w:rsid w:val="002321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7502">
      <w:bodyDiv w:val="1"/>
      <w:marLeft w:val="0"/>
      <w:marRight w:val="0"/>
      <w:marTop w:val="0"/>
      <w:marBottom w:val="0"/>
      <w:divBdr>
        <w:top w:val="none" w:sz="0" w:space="0" w:color="auto"/>
        <w:left w:val="none" w:sz="0" w:space="0" w:color="auto"/>
        <w:bottom w:val="none" w:sz="0" w:space="0" w:color="auto"/>
        <w:right w:val="none" w:sz="0" w:space="0" w:color="auto"/>
      </w:divBdr>
      <w:divsChild>
        <w:div w:id="801773166">
          <w:marLeft w:val="0"/>
          <w:marRight w:val="0"/>
          <w:marTop w:val="0"/>
          <w:marBottom w:val="0"/>
          <w:divBdr>
            <w:top w:val="none" w:sz="0" w:space="0" w:color="auto"/>
            <w:left w:val="none" w:sz="0" w:space="0" w:color="auto"/>
            <w:bottom w:val="none" w:sz="0" w:space="0" w:color="auto"/>
            <w:right w:val="none" w:sz="0" w:space="0" w:color="auto"/>
          </w:divBdr>
        </w:div>
      </w:divsChild>
    </w:div>
    <w:div w:id="1026561397">
      <w:bodyDiv w:val="1"/>
      <w:marLeft w:val="0"/>
      <w:marRight w:val="0"/>
      <w:marTop w:val="0"/>
      <w:marBottom w:val="0"/>
      <w:divBdr>
        <w:top w:val="none" w:sz="0" w:space="0" w:color="auto"/>
        <w:left w:val="none" w:sz="0" w:space="0" w:color="auto"/>
        <w:bottom w:val="none" w:sz="0" w:space="0" w:color="auto"/>
        <w:right w:val="none" w:sz="0" w:space="0" w:color="auto"/>
      </w:divBdr>
      <w:divsChild>
        <w:div w:id="690032529">
          <w:marLeft w:val="0"/>
          <w:marRight w:val="1"/>
          <w:marTop w:val="0"/>
          <w:marBottom w:val="0"/>
          <w:divBdr>
            <w:top w:val="none" w:sz="0" w:space="0" w:color="auto"/>
            <w:left w:val="none" w:sz="0" w:space="0" w:color="auto"/>
            <w:bottom w:val="none" w:sz="0" w:space="0" w:color="auto"/>
            <w:right w:val="none" w:sz="0" w:space="0" w:color="auto"/>
          </w:divBdr>
          <w:divsChild>
            <w:div w:id="1920825944">
              <w:marLeft w:val="0"/>
              <w:marRight w:val="0"/>
              <w:marTop w:val="0"/>
              <w:marBottom w:val="0"/>
              <w:divBdr>
                <w:top w:val="none" w:sz="0" w:space="0" w:color="auto"/>
                <w:left w:val="none" w:sz="0" w:space="0" w:color="auto"/>
                <w:bottom w:val="none" w:sz="0" w:space="0" w:color="auto"/>
                <w:right w:val="none" w:sz="0" w:space="0" w:color="auto"/>
              </w:divBdr>
              <w:divsChild>
                <w:div w:id="1187065011">
                  <w:marLeft w:val="0"/>
                  <w:marRight w:val="1"/>
                  <w:marTop w:val="0"/>
                  <w:marBottom w:val="0"/>
                  <w:divBdr>
                    <w:top w:val="none" w:sz="0" w:space="0" w:color="auto"/>
                    <w:left w:val="none" w:sz="0" w:space="0" w:color="auto"/>
                    <w:bottom w:val="none" w:sz="0" w:space="0" w:color="auto"/>
                    <w:right w:val="none" w:sz="0" w:space="0" w:color="auto"/>
                  </w:divBdr>
                  <w:divsChild>
                    <w:div w:id="726144967">
                      <w:marLeft w:val="0"/>
                      <w:marRight w:val="0"/>
                      <w:marTop w:val="0"/>
                      <w:marBottom w:val="0"/>
                      <w:divBdr>
                        <w:top w:val="none" w:sz="0" w:space="0" w:color="auto"/>
                        <w:left w:val="none" w:sz="0" w:space="0" w:color="auto"/>
                        <w:bottom w:val="none" w:sz="0" w:space="0" w:color="auto"/>
                        <w:right w:val="none" w:sz="0" w:space="0" w:color="auto"/>
                      </w:divBdr>
                      <w:divsChild>
                        <w:div w:id="11418846">
                          <w:marLeft w:val="0"/>
                          <w:marRight w:val="0"/>
                          <w:marTop w:val="0"/>
                          <w:marBottom w:val="0"/>
                          <w:divBdr>
                            <w:top w:val="none" w:sz="0" w:space="0" w:color="auto"/>
                            <w:left w:val="none" w:sz="0" w:space="0" w:color="auto"/>
                            <w:bottom w:val="none" w:sz="0" w:space="0" w:color="auto"/>
                            <w:right w:val="none" w:sz="0" w:space="0" w:color="auto"/>
                          </w:divBdr>
                          <w:divsChild>
                            <w:div w:id="513423020">
                              <w:marLeft w:val="0"/>
                              <w:marRight w:val="0"/>
                              <w:marTop w:val="120"/>
                              <w:marBottom w:val="360"/>
                              <w:divBdr>
                                <w:top w:val="none" w:sz="0" w:space="0" w:color="auto"/>
                                <w:left w:val="none" w:sz="0" w:space="0" w:color="auto"/>
                                <w:bottom w:val="none" w:sz="0" w:space="0" w:color="auto"/>
                                <w:right w:val="none" w:sz="0" w:space="0" w:color="auto"/>
                              </w:divBdr>
                              <w:divsChild>
                                <w:div w:id="16993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63129">
      <w:bodyDiv w:val="1"/>
      <w:marLeft w:val="0"/>
      <w:marRight w:val="0"/>
      <w:marTop w:val="0"/>
      <w:marBottom w:val="0"/>
      <w:divBdr>
        <w:top w:val="none" w:sz="0" w:space="0" w:color="auto"/>
        <w:left w:val="none" w:sz="0" w:space="0" w:color="auto"/>
        <w:bottom w:val="none" w:sz="0" w:space="0" w:color="auto"/>
        <w:right w:val="none" w:sz="0" w:space="0" w:color="auto"/>
      </w:divBdr>
      <w:divsChild>
        <w:div w:id="1924484437">
          <w:marLeft w:val="0"/>
          <w:marRight w:val="1"/>
          <w:marTop w:val="0"/>
          <w:marBottom w:val="0"/>
          <w:divBdr>
            <w:top w:val="none" w:sz="0" w:space="0" w:color="auto"/>
            <w:left w:val="none" w:sz="0" w:space="0" w:color="auto"/>
            <w:bottom w:val="none" w:sz="0" w:space="0" w:color="auto"/>
            <w:right w:val="none" w:sz="0" w:space="0" w:color="auto"/>
          </w:divBdr>
          <w:divsChild>
            <w:div w:id="1018459864">
              <w:marLeft w:val="0"/>
              <w:marRight w:val="0"/>
              <w:marTop w:val="0"/>
              <w:marBottom w:val="0"/>
              <w:divBdr>
                <w:top w:val="none" w:sz="0" w:space="0" w:color="auto"/>
                <w:left w:val="none" w:sz="0" w:space="0" w:color="auto"/>
                <w:bottom w:val="none" w:sz="0" w:space="0" w:color="auto"/>
                <w:right w:val="none" w:sz="0" w:space="0" w:color="auto"/>
              </w:divBdr>
              <w:divsChild>
                <w:div w:id="992833312">
                  <w:marLeft w:val="0"/>
                  <w:marRight w:val="1"/>
                  <w:marTop w:val="0"/>
                  <w:marBottom w:val="0"/>
                  <w:divBdr>
                    <w:top w:val="none" w:sz="0" w:space="0" w:color="auto"/>
                    <w:left w:val="none" w:sz="0" w:space="0" w:color="auto"/>
                    <w:bottom w:val="none" w:sz="0" w:space="0" w:color="auto"/>
                    <w:right w:val="none" w:sz="0" w:space="0" w:color="auto"/>
                  </w:divBdr>
                  <w:divsChild>
                    <w:div w:id="1914705156">
                      <w:marLeft w:val="0"/>
                      <w:marRight w:val="0"/>
                      <w:marTop w:val="0"/>
                      <w:marBottom w:val="0"/>
                      <w:divBdr>
                        <w:top w:val="none" w:sz="0" w:space="0" w:color="auto"/>
                        <w:left w:val="none" w:sz="0" w:space="0" w:color="auto"/>
                        <w:bottom w:val="none" w:sz="0" w:space="0" w:color="auto"/>
                        <w:right w:val="none" w:sz="0" w:space="0" w:color="auto"/>
                      </w:divBdr>
                      <w:divsChild>
                        <w:div w:id="1212616204">
                          <w:marLeft w:val="0"/>
                          <w:marRight w:val="0"/>
                          <w:marTop w:val="0"/>
                          <w:marBottom w:val="0"/>
                          <w:divBdr>
                            <w:top w:val="none" w:sz="0" w:space="0" w:color="auto"/>
                            <w:left w:val="none" w:sz="0" w:space="0" w:color="auto"/>
                            <w:bottom w:val="none" w:sz="0" w:space="0" w:color="auto"/>
                            <w:right w:val="none" w:sz="0" w:space="0" w:color="auto"/>
                          </w:divBdr>
                          <w:divsChild>
                            <w:div w:id="169326149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919359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pubmed/2096055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864C-CFB7-4D5E-A395-C1AA8B88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Patel,Jay</dc:creator>
  <cp:lastModifiedBy>Kuszewski,Gillian</cp:lastModifiedBy>
  <cp:revision>6</cp:revision>
  <cp:lastPrinted>2017-03-22T14:58:00Z</cp:lastPrinted>
  <dcterms:created xsi:type="dcterms:W3CDTF">2017-03-22T15:05:00Z</dcterms:created>
  <dcterms:modified xsi:type="dcterms:W3CDTF">2021-04-02T13:36:00Z</dcterms:modified>
</cp:coreProperties>
</file>