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F90EE7" w14:textId="77777777" w:rsidR="00913DC1" w:rsidRDefault="00913DC1" w:rsidP="00913DC1">
      <w:pPr>
        <w:rPr>
          <w:sz w:val="32"/>
          <w:szCs w:val="32"/>
        </w:rPr>
      </w:pPr>
      <w:proofErr w:type="spellStart"/>
      <w:r>
        <w:rPr>
          <w:sz w:val="32"/>
          <w:szCs w:val="32"/>
        </w:rPr>
        <w:t>HealthONE</w:t>
      </w:r>
      <w:proofErr w:type="spellEnd"/>
      <w:r>
        <w:rPr>
          <w:sz w:val="32"/>
          <w:szCs w:val="32"/>
        </w:rPr>
        <w:t xml:space="preserve"> </w:t>
      </w:r>
      <w:proofErr w:type="spellStart"/>
      <w:r>
        <w:rPr>
          <w:sz w:val="32"/>
          <w:szCs w:val="32"/>
        </w:rPr>
        <w:t>PENTobarbital</w:t>
      </w:r>
      <w:proofErr w:type="spellEnd"/>
      <w:r>
        <w:rPr>
          <w:sz w:val="32"/>
          <w:szCs w:val="32"/>
        </w:rPr>
        <w:t xml:space="preserve"> Procedure – Updated 5/8/2019</w:t>
      </w:r>
    </w:p>
    <w:p w14:paraId="7DBDA44F" w14:textId="77777777" w:rsidR="00913DC1" w:rsidRDefault="00913DC1" w:rsidP="00913DC1">
      <w:r>
        <w:rPr>
          <w:b/>
          <w:u w:val="single"/>
        </w:rPr>
        <w:t>BACKGROUND:</w:t>
      </w:r>
      <w:r>
        <w:t xml:space="preserve">  In the past, chloral hydrate had been used for sedation with limited success likely due to variable absorption when given orally or rectally. Patients should also be NPO prior to conscious sedation. Recently, we have had good success using </w:t>
      </w:r>
      <w:proofErr w:type="spellStart"/>
      <w:r>
        <w:t>PENTobarbital</w:t>
      </w:r>
      <w:proofErr w:type="spellEnd"/>
      <w:r>
        <w:t xml:space="preserve"> for MRI sedation. Because of a sentinel event with chloral hydrate the pharmacist has been involved with checking and drawing up doses – this policy continues with </w:t>
      </w:r>
      <w:proofErr w:type="spellStart"/>
      <w:r>
        <w:t>PENTobarbital</w:t>
      </w:r>
      <w:proofErr w:type="spellEnd"/>
      <w:r>
        <w:t>.</w:t>
      </w:r>
    </w:p>
    <w:p w14:paraId="6F555638" w14:textId="77777777" w:rsidR="00913DC1" w:rsidRDefault="00913DC1" w:rsidP="00913DC1">
      <w:pPr>
        <w:rPr>
          <w:b/>
          <w:u w:val="single"/>
        </w:rPr>
      </w:pPr>
      <w:r>
        <w:rPr>
          <w:b/>
          <w:u w:val="single"/>
        </w:rPr>
        <w:t>PHARMACODYNAMICS:</w:t>
      </w:r>
    </w:p>
    <w:p w14:paraId="37D9955C" w14:textId="77777777" w:rsidR="00913DC1" w:rsidRDefault="00913DC1" w:rsidP="00913DC1">
      <w:pPr>
        <w:pStyle w:val="ListParagraph"/>
        <w:numPr>
          <w:ilvl w:val="0"/>
          <w:numId w:val="2"/>
        </w:numPr>
        <w:spacing w:after="0" w:line="256" w:lineRule="auto"/>
      </w:pPr>
      <w:proofErr w:type="spellStart"/>
      <w:r>
        <w:t>PENTobarbital</w:t>
      </w:r>
      <w:proofErr w:type="spellEnd"/>
      <w:r>
        <w:t xml:space="preserve"> may be given IV or IM.  Onset of action is 15-30 minutes when give IM and within one minute when given IV. IV doses should be given over 30 seconds.</w:t>
      </w:r>
    </w:p>
    <w:p w14:paraId="3143BD5E" w14:textId="77777777" w:rsidR="00913DC1" w:rsidRDefault="00913DC1" w:rsidP="00913DC1">
      <w:pPr>
        <w:pStyle w:val="ListParagraph"/>
        <w:numPr>
          <w:ilvl w:val="0"/>
          <w:numId w:val="2"/>
        </w:numPr>
        <w:spacing w:after="0" w:line="256" w:lineRule="auto"/>
      </w:pPr>
      <w:r>
        <w:t>Duration of action is 15 minutes when given IV and 15-30 minutes when given IM.</w:t>
      </w:r>
    </w:p>
    <w:p w14:paraId="0EC49BEA" w14:textId="77777777" w:rsidR="00913DC1" w:rsidRDefault="00913DC1" w:rsidP="00913DC1">
      <w:pPr>
        <w:pStyle w:val="ListParagraph"/>
        <w:numPr>
          <w:ilvl w:val="0"/>
          <w:numId w:val="2"/>
        </w:numPr>
        <w:spacing w:after="0" w:line="256" w:lineRule="auto"/>
      </w:pPr>
      <w:r>
        <w:t>Volume of distribution in children = 0.8L/kg</w:t>
      </w:r>
    </w:p>
    <w:p w14:paraId="279E0E8A" w14:textId="77777777" w:rsidR="00913DC1" w:rsidRDefault="00913DC1" w:rsidP="00913DC1">
      <w:pPr>
        <w:pStyle w:val="ListParagraph"/>
        <w:numPr>
          <w:ilvl w:val="0"/>
          <w:numId w:val="2"/>
        </w:numPr>
        <w:spacing w:after="0" w:line="256" w:lineRule="auto"/>
      </w:pPr>
      <w:r>
        <w:t>Terminal half-life in children = 25 hours.</w:t>
      </w:r>
    </w:p>
    <w:p w14:paraId="75A09640" w14:textId="77777777" w:rsidR="00913DC1" w:rsidRDefault="00913DC1" w:rsidP="00913DC1">
      <w:pPr>
        <w:pStyle w:val="ListParagraph"/>
        <w:numPr>
          <w:ilvl w:val="0"/>
          <w:numId w:val="2"/>
        </w:numPr>
        <w:spacing w:after="0" w:line="256" w:lineRule="auto"/>
      </w:pPr>
      <w:r>
        <w:t>Therapeutic reference range:</w:t>
      </w:r>
    </w:p>
    <w:p w14:paraId="2CB11873" w14:textId="77777777" w:rsidR="00913DC1" w:rsidRDefault="00913DC1" w:rsidP="00913DC1">
      <w:pPr>
        <w:spacing w:after="0"/>
      </w:pPr>
      <w:r>
        <w:t xml:space="preserve"> </w:t>
      </w:r>
      <w:r>
        <w:tab/>
      </w:r>
      <w:r>
        <w:tab/>
        <w:t>Sedation: 1-5 mcg/ml</w:t>
      </w:r>
    </w:p>
    <w:p w14:paraId="2103CFB7" w14:textId="77777777" w:rsidR="00913DC1" w:rsidRDefault="00913DC1" w:rsidP="00913DC1">
      <w:pPr>
        <w:spacing w:after="0"/>
      </w:pPr>
      <w:r>
        <w:tab/>
      </w:r>
      <w:r>
        <w:tab/>
        <w:t>Sleep: 5-15 mcg/ml</w:t>
      </w:r>
    </w:p>
    <w:p w14:paraId="2A447473" w14:textId="77777777" w:rsidR="00913DC1" w:rsidRDefault="00913DC1" w:rsidP="00913DC1">
      <w:pPr>
        <w:spacing w:after="0"/>
      </w:pPr>
      <w:r>
        <w:tab/>
      </w:r>
      <w:r>
        <w:tab/>
        <w:t>Coma: 20-40 mcg/ml</w:t>
      </w:r>
    </w:p>
    <w:p w14:paraId="1F3438DF" w14:textId="77777777" w:rsidR="00913DC1" w:rsidRDefault="00913DC1" w:rsidP="00913DC1">
      <w:pPr>
        <w:pStyle w:val="ListParagraph"/>
        <w:numPr>
          <w:ilvl w:val="0"/>
          <w:numId w:val="3"/>
        </w:numPr>
        <w:spacing w:after="0" w:line="256" w:lineRule="auto"/>
      </w:pPr>
      <w:r>
        <w:t>DOSING FOR MRI:  Approved by the NN Practice Committee 6/3/2010</w:t>
      </w:r>
    </w:p>
    <w:p w14:paraId="3176755D" w14:textId="77777777" w:rsidR="00913DC1" w:rsidRDefault="00913DC1" w:rsidP="00913DC1">
      <w:pPr>
        <w:pStyle w:val="ListParagraph"/>
        <w:numPr>
          <w:ilvl w:val="1"/>
          <w:numId w:val="3"/>
        </w:numPr>
        <w:spacing w:after="0" w:line="256" w:lineRule="auto"/>
      </w:pPr>
      <w:r>
        <w:t>Initial Dose = 4mg/kg and Repeat dosing = 2mg/kg</w:t>
      </w:r>
    </w:p>
    <w:p w14:paraId="28814D06" w14:textId="77777777" w:rsidR="00913DC1" w:rsidRDefault="00913DC1" w:rsidP="00913DC1">
      <w:pPr>
        <w:pStyle w:val="ListParagraph"/>
        <w:numPr>
          <w:ilvl w:val="0"/>
          <w:numId w:val="3"/>
        </w:numPr>
        <w:spacing w:after="0" w:line="256" w:lineRule="auto"/>
      </w:pPr>
      <w:r>
        <w:t xml:space="preserve">If no IV access, give IM just prior to leaving for MRI. </w:t>
      </w:r>
    </w:p>
    <w:p w14:paraId="0374A9AA" w14:textId="77777777" w:rsidR="00913DC1" w:rsidRDefault="00913DC1" w:rsidP="00913DC1">
      <w:pPr>
        <w:pStyle w:val="ListParagraph"/>
        <w:numPr>
          <w:ilvl w:val="0"/>
          <w:numId w:val="3"/>
        </w:numPr>
        <w:spacing w:after="0" w:line="256" w:lineRule="auto"/>
      </w:pPr>
      <w:r>
        <w:t>If given IV, administer over 30 seconds in MRI suite</w:t>
      </w:r>
    </w:p>
    <w:p w14:paraId="2D9D8100" w14:textId="77777777" w:rsidR="00913DC1" w:rsidRDefault="00913DC1" w:rsidP="00913DC1">
      <w:pPr>
        <w:spacing w:after="0"/>
        <w:rPr>
          <w:i/>
          <w:u w:val="single"/>
        </w:rPr>
      </w:pPr>
      <w:r>
        <w:rPr>
          <w:i/>
          <w:u w:val="single"/>
        </w:rPr>
        <w:t>DO NOT EXCEED TOTAL DOSE OF 6mg/kg – Abort procedure if necessary</w:t>
      </w:r>
    </w:p>
    <w:p w14:paraId="0E6AB738" w14:textId="77777777" w:rsidR="00913DC1" w:rsidRDefault="00913DC1" w:rsidP="00913DC1">
      <w:pPr>
        <w:spacing w:after="0"/>
      </w:pPr>
    </w:p>
    <w:p w14:paraId="2F038722" w14:textId="77777777" w:rsidR="00913DC1" w:rsidRDefault="00913DC1" w:rsidP="00913DC1">
      <w:pPr>
        <w:rPr>
          <w:b/>
          <w:u w:val="single"/>
        </w:rPr>
      </w:pPr>
      <w:r>
        <w:rPr>
          <w:b/>
          <w:u w:val="single"/>
        </w:rPr>
        <w:t>PROCEDURE:</w:t>
      </w:r>
    </w:p>
    <w:p w14:paraId="3563E823" w14:textId="77777777" w:rsidR="00913DC1" w:rsidRDefault="00913DC1" w:rsidP="00913DC1">
      <w:pPr>
        <w:pStyle w:val="ListParagraph"/>
        <w:numPr>
          <w:ilvl w:val="0"/>
          <w:numId w:val="4"/>
        </w:numPr>
        <w:spacing w:line="256" w:lineRule="auto"/>
      </w:pPr>
      <w:r>
        <w:t>Order received via Pyxis Connect.  May be for 1 or 2 doses, and the doses may differ.</w:t>
      </w:r>
    </w:p>
    <w:p w14:paraId="54CD56D0" w14:textId="77777777" w:rsidR="00913DC1" w:rsidRDefault="00913DC1" w:rsidP="00913DC1">
      <w:pPr>
        <w:pStyle w:val="ListParagraph"/>
      </w:pPr>
    </w:p>
    <w:p w14:paraId="64884A11" w14:textId="77777777" w:rsidR="00913DC1" w:rsidRDefault="00913DC1" w:rsidP="00913DC1">
      <w:pPr>
        <w:pStyle w:val="ListParagraph"/>
        <w:numPr>
          <w:ilvl w:val="0"/>
          <w:numId w:val="4"/>
        </w:numPr>
        <w:spacing w:line="256" w:lineRule="auto"/>
      </w:pPr>
      <w:r>
        <w:t xml:space="preserve">Orders transcribed into </w:t>
      </w:r>
      <w:proofErr w:type="spellStart"/>
      <w:r>
        <w:t>HealthONE</w:t>
      </w:r>
      <w:proofErr w:type="spellEnd"/>
      <w:r>
        <w:t>.  Exact patient dose can be entered.</w:t>
      </w:r>
    </w:p>
    <w:p w14:paraId="5B8E6C94" w14:textId="77777777" w:rsidR="00913DC1" w:rsidRDefault="00913DC1" w:rsidP="00913DC1">
      <w:pPr>
        <w:pStyle w:val="ListParagraph"/>
        <w:numPr>
          <w:ilvl w:val="1"/>
          <w:numId w:val="4"/>
        </w:numPr>
        <w:spacing w:line="256" w:lineRule="auto"/>
      </w:pPr>
      <w:r>
        <w:t>For IV order entry, use code 501187</w:t>
      </w:r>
    </w:p>
    <w:p w14:paraId="01E85405" w14:textId="77777777" w:rsidR="00913DC1" w:rsidRDefault="00913DC1" w:rsidP="00913DC1">
      <w:pPr>
        <w:pStyle w:val="ListParagraph"/>
        <w:numPr>
          <w:ilvl w:val="1"/>
          <w:numId w:val="4"/>
        </w:numPr>
        <w:spacing w:line="256" w:lineRule="auto"/>
      </w:pPr>
      <w:r>
        <w:t>For IM order entry, use code 6097</w:t>
      </w:r>
    </w:p>
    <w:p w14:paraId="48EBE6A8" w14:textId="77777777" w:rsidR="00913DC1" w:rsidRDefault="00913DC1" w:rsidP="00913DC1">
      <w:pPr>
        <w:pStyle w:val="ListParagraph"/>
        <w:ind w:left="1440"/>
      </w:pPr>
    </w:p>
    <w:p w14:paraId="1CFCA6A2" w14:textId="77777777" w:rsidR="00913DC1" w:rsidRDefault="00913DC1" w:rsidP="00913DC1">
      <w:pPr>
        <w:pStyle w:val="ListParagraph"/>
        <w:numPr>
          <w:ilvl w:val="0"/>
          <w:numId w:val="4"/>
        </w:numPr>
        <w:spacing w:after="0" w:line="256" w:lineRule="auto"/>
      </w:pPr>
      <w:r>
        <w:t>In CII Safe, create standard compound using correct template, IM or IV.  It is OK to use 1 compound to make 2 syringes if they happen to order 2 for procedure.</w:t>
      </w:r>
    </w:p>
    <w:p w14:paraId="2391590A" w14:textId="77777777" w:rsidR="00913DC1" w:rsidRDefault="00913DC1" w:rsidP="00913DC1">
      <w:pPr>
        <w:spacing w:after="0"/>
      </w:pPr>
    </w:p>
    <w:p w14:paraId="1A11935A" w14:textId="77777777" w:rsidR="00913DC1" w:rsidRDefault="00913DC1" w:rsidP="00913DC1">
      <w:pPr>
        <w:pStyle w:val="ListParagraph"/>
        <w:numPr>
          <w:ilvl w:val="0"/>
          <w:numId w:val="4"/>
        </w:numPr>
        <w:spacing w:after="0" w:line="256" w:lineRule="auto"/>
      </w:pPr>
      <w:r>
        <w:t xml:space="preserve">Order should flow into </w:t>
      </w:r>
      <w:proofErr w:type="spellStart"/>
      <w:r>
        <w:t>DoseEdge</w:t>
      </w:r>
      <w:proofErr w:type="spellEnd"/>
      <w:r>
        <w:t xml:space="preserve"> as a Syringe.  If enough notice is given to facilitate making in IV room, please do so to maximize beyond use dating.  If emergent need, can also be prepped using </w:t>
      </w:r>
      <w:proofErr w:type="spellStart"/>
      <w:r>
        <w:t>DoseEdge</w:t>
      </w:r>
      <w:proofErr w:type="spellEnd"/>
      <w:r>
        <w:t xml:space="preserve"> station outside of IV room with 1 hour beyond use date.  </w:t>
      </w:r>
    </w:p>
    <w:p w14:paraId="2F4E9872" w14:textId="77777777" w:rsidR="00913DC1" w:rsidRDefault="00913DC1" w:rsidP="00913DC1">
      <w:pPr>
        <w:pStyle w:val="ListParagraph"/>
      </w:pPr>
    </w:p>
    <w:p w14:paraId="753B2274" w14:textId="77777777" w:rsidR="00913DC1" w:rsidRDefault="00913DC1" w:rsidP="00913DC1">
      <w:pPr>
        <w:pStyle w:val="ListParagraph"/>
        <w:numPr>
          <w:ilvl w:val="0"/>
          <w:numId w:val="4"/>
        </w:numPr>
        <w:spacing w:line="256" w:lineRule="auto"/>
      </w:pPr>
      <w:r>
        <w:t>Prep the syringe(s) and document any waste on the CII safe generated compounding sheet</w:t>
      </w:r>
    </w:p>
    <w:p w14:paraId="78A5C28F" w14:textId="77777777" w:rsidR="00913DC1" w:rsidRDefault="00913DC1" w:rsidP="00913DC1">
      <w:pPr>
        <w:pStyle w:val="ListParagraph"/>
        <w:numPr>
          <w:ilvl w:val="1"/>
          <w:numId w:val="4"/>
        </w:numPr>
        <w:spacing w:line="256" w:lineRule="auto"/>
      </w:pPr>
      <w:r>
        <w:t>IV - 1mL (50mg) added to 9mL PF Sodium Chloride for final concentration 5mg/mL</w:t>
      </w:r>
    </w:p>
    <w:p w14:paraId="0A25E2E9" w14:textId="77777777" w:rsidR="00913DC1" w:rsidRDefault="00913DC1" w:rsidP="00913DC1">
      <w:pPr>
        <w:pStyle w:val="ListParagraph"/>
        <w:numPr>
          <w:ilvl w:val="1"/>
          <w:numId w:val="4"/>
        </w:numPr>
        <w:spacing w:line="256" w:lineRule="auto"/>
      </w:pPr>
      <w:r>
        <w:t>IM – Straight drug, no dilution necessary</w:t>
      </w:r>
    </w:p>
    <w:p w14:paraId="6A7EBAF7" w14:textId="77777777" w:rsidR="00913DC1" w:rsidRDefault="00913DC1" w:rsidP="00913DC1">
      <w:pPr>
        <w:pStyle w:val="ListParagraph"/>
        <w:ind w:left="1440"/>
      </w:pPr>
    </w:p>
    <w:p w14:paraId="43206511" w14:textId="5BFA8406" w:rsidR="003837A7" w:rsidRPr="00913DC1" w:rsidRDefault="00913DC1" w:rsidP="00913DC1">
      <w:pPr>
        <w:pStyle w:val="ListParagraph"/>
        <w:numPr>
          <w:ilvl w:val="0"/>
          <w:numId w:val="4"/>
        </w:numPr>
        <w:spacing w:line="256" w:lineRule="auto"/>
      </w:pPr>
      <w:r>
        <w:t>Vial is Multi-Dose so can be returned to the safe with a 28 day beyond use date once opened.</w:t>
      </w:r>
      <w:bookmarkStart w:id="0" w:name="_GoBack"/>
      <w:bookmarkEnd w:id="0"/>
    </w:p>
    <w:sectPr w:rsidR="003837A7" w:rsidRPr="00913D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D26F5F"/>
    <w:multiLevelType w:val="hybridMultilevel"/>
    <w:tmpl w:val="2272F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3A6E3ABA"/>
    <w:multiLevelType w:val="hybridMultilevel"/>
    <w:tmpl w:val="6CCA2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49A57CFD"/>
    <w:multiLevelType w:val="hybridMultilevel"/>
    <w:tmpl w:val="902A38E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F4C"/>
    <w:rsid w:val="00002480"/>
    <w:rsid w:val="000C7460"/>
    <w:rsid w:val="00292F4C"/>
    <w:rsid w:val="002D3748"/>
    <w:rsid w:val="003837A7"/>
    <w:rsid w:val="005D3F4C"/>
    <w:rsid w:val="00913DC1"/>
    <w:rsid w:val="00AD2C44"/>
    <w:rsid w:val="00E56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06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3F4C"/>
    <w:pPr>
      <w:ind w:left="720"/>
      <w:contextualSpacing/>
    </w:pPr>
  </w:style>
  <w:style w:type="paragraph" w:styleId="BalloonText">
    <w:name w:val="Balloon Text"/>
    <w:basedOn w:val="Normal"/>
    <w:link w:val="BalloonTextChar"/>
    <w:uiPriority w:val="99"/>
    <w:semiHidden/>
    <w:unhideWhenUsed/>
    <w:rsid w:val="00292F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F4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3F4C"/>
    <w:pPr>
      <w:ind w:left="720"/>
      <w:contextualSpacing/>
    </w:pPr>
  </w:style>
  <w:style w:type="paragraph" w:styleId="BalloonText">
    <w:name w:val="Balloon Text"/>
    <w:basedOn w:val="Normal"/>
    <w:link w:val="BalloonTextChar"/>
    <w:uiPriority w:val="99"/>
    <w:semiHidden/>
    <w:unhideWhenUsed/>
    <w:rsid w:val="00292F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F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547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328</Words>
  <Characters>1871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UConn Health</Company>
  <LinksUpToDate>false</LinksUpToDate>
  <CharactersWithSpaces>2195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Dias,Allison</dc:creator>
  <cp:lastModifiedBy>Dias,Allison</cp:lastModifiedBy>
  <cp:revision>3</cp:revision>
  <cp:lastPrinted>2018-08-07T13:54:00Z</cp:lastPrinted>
  <dcterms:created xsi:type="dcterms:W3CDTF">2018-08-07T15:46:00Z</dcterms:created>
  <dcterms:modified xsi:type="dcterms:W3CDTF">2019-06-26T13:47:00Z</dcterms:modified>
</cp:coreProperties>
</file>