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81" w:rsidRPr="00AF22E1" w:rsidRDefault="006D3581">
      <w:pPr>
        <w:rPr>
          <w:sz w:val="24"/>
          <w:szCs w:val="24"/>
        </w:rPr>
      </w:pPr>
    </w:p>
    <w:p w:rsidR="00AF22E1" w:rsidRPr="00AF22E1" w:rsidRDefault="00AF22E1">
      <w:pPr>
        <w:rPr>
          <w:sz w:val="24"/>
          <w:szCs w:val="24"/>
        </w:rPr>
      </w:pPr>
    </w:p>
    <w:p w:rsidR="00AF22E1" w:rsidRPr="004C20A3" w:rsidRDefault="00AF22E1" w:rsidP="004C20A3">
      <w:pPr>
        <w:jc w:val="center"/>
        <w:rPr>
          <w:b/>
          <w:sz w:val="24"/>
          <w:szCs w:val="24"/>
          <w:u w:val="single"/>
        </w:rPr>
      </w:pPr>
      <w:r w:rsidRPr="004C20A3">
        <w:rPr>
          <w:b/>
          <w:sz w:val="24"/>
          <w:szCs w:val="24"/>
          <w:u w:val="single"/>
        </w:rPr>
        <w:t>How to use ADD-Vantage® Vial System</w:t>
      </w:r>
    </w:p>
    <w:p w:rsidR="00AF22E1" w:rsidRDefault="004C20A3">
      <w:pPr>
        <w:rPr>
          <w:sz w:val="24"/>
          <w:szCs w:val="24"/>
        </w:rPr>
      </w:pPr>
      <w:r>
        <w:rPr>
          <w:sz w:val="24"/>
          <w:szCs w:val="24"/>
        </w:rPr>
        <w:t xml:space="preserve">Due to severe shortage with the </w:t>
      </w:r>
      <w:proofErr w:type="spellStart"/>
      <w:r>
        <w:rPr>
          <w:sz w:val="24"/>
          <w:szCs w:val="24"/>
        </w:rPr>
        <w:t>Minibag</w:t>
      </w:r>
      <w:proofErr w:type="spellEnd"/>
      <w:r>
        <w:rPr>
          <w:sz w:val="24"/>
          <w:szCs w:val="24"/>
        </w:rPr>
        <w:t xml:space="preserve"> Plus ® system, pharmacy will be providing some medications such as Cefazolin and </w:t>
      </w:r>
      <w:proofErr w:type="spellStart"/>
      <w:r>
        <w:rPr>
          <w:sz w:val="24"/>
          <w:szCs w:val="24"/>
        </w:rPr>
        <w:t>Zosyn</w:t>
      </w:r>
      <w:proofErr w:type="spellEnd"/>
      <w:r>
        <w:rPr>
          <w:sz w:val="24"/>
          <w:szCs w:val="24"/>
        </w:rPr>
        <w:t>® for use with ADD-Vantage® system. See below instructions that detail for use. Contact the unit pharmacist if any further questions.</w:t>
      </w:r>
    </w:p>
    <w:p w:rsidR="004C20A3" w:rsidRPr="00AF22E1" w:rsidRDefault="004C20A3">
      <w:pPr>
        <w:rPr>
          <w:sz w:val="24"/>
          <w:szCs w:val="24"/>
        </w:rPr>
      </w:pPr>
    </w:p>
    <w:tbl>
      <w:tblPr>
        <w:tblStyle w:val="TableGrid"/>
        <w:tblW w:w="0" w:type="auto"/>
        <w:tblLook w:val="04A0" w:firstRow="1" w:lastRow="0" w:firstColumn="1" w:lastColumn="0" w:noHBand="0" w:noVBand="1"/>
      </w:tblPr>
      <w:tblGrid>
        <w:gridCol w:w="5508"/>
        <w:gridCol w:w="5508"/>
      </w:tblGrid>
      <w:tr w:rsidR="00AF22E1" w:rsidRPr="00AF22E1" w:rsidTr="004C20A3">
        <w:tc>
          <w:tcPr>
            <w:tcW w:w="5508" w:type="dxa"/>
            <w:shd w:val="clear" w:color="auto" w:fill="D9D9D9" w:themeFill="background1" w:themeFillShade="D9"/>
          </w:tcPr>
          <w:p w:rsidR="00AF22E1" w:rsidRPr="00AF22E1" w:rsidRDefault="00AF22E1" w:rsidP="00AF22E1">
            <w:pPr>
              <w:jc w:val="center"/>
              <w:rPr>
                <w:rFonts w:eastAsia="Times New Roman" w:cs="Times New Roman"/>
                <w:b/>
                <w:bCs/>
                <w:sz w:val="24"/>
                <w:szCs w:val="24"/>
              </w:rPr>
            </w:pPr>
            <w:r w:rsidRPr="00EA1385">
              <w:rPr>
                <w:rFonts w:eastAsia="Times New Roman" w:cs="Times New Roman"/>
                <w:b/>
                <w:bCs/>
                <w:sz w:val="24"/>
                <w:szCs w:val="24"/>
              </w:rPr>
              <w:t>To Assemble Vial and Flexible Diluent Container</w:t>
            </w:r>
          </w:p>
          <w:p w:rsidR="00AF22E1" w:rsidRPr="00AF22E1" w:rsidRDefault="00AF22E1" w:rsidP="00AF22E1">
            <w:pPr>
              <w:jc w:val="center"/>
              <w:rPr>
                <w:b/>
                <w:sz w:val="24"/>
                <w:szCs w:val="24"/>
              </w:rPr>
            </w:pPr>
            <w:r w:rsidRPr="00AF22E1">
              <w:rPr>
                <w:rFonts w:eastAsia="Times New Roman" w:cs="Times New Roman"/>
                <w:b/>
                <w:bCs/>
                <w:sz w:val="24"/>
                <w:szCs w:val="24"/>
              </w:rPr>
              <w:t>(Use Aseptic Technique)</w:t>
            </w:r>
            <w:r>
              <w:rPr>
                <w:rFonts w:eastAsia="Times New Roman" w:cs="Times New Roman"/>
                <w:b/>
                <w:bCs/>
                <w:sz w:val="24"/>
                <w:szCs w:val="24"/>
              </w:rPr>
              <w:t>:</w:t>
            </w:r>
          </w:p>
        </w:tc>
        <w:tc>
          <w:tcPr>
            <w:tcW w:w="5508" w:type="dxa"/>
            <w:shd w:val="clear" w:color="auto" w:fill="D9D9D9" w:themeFill="background1" w:themeFillShade="D9"/>
          </w:tcPr>
          <w:p w:rsidR="00AF22E1" w:rsidRPr="00AF22E1" w:rsidRDefault="00AF22E1" w:rsidP="00AF22E1">
            <w:pPr>
              <w:jc w:val="center"/>
              <w:rPr>
                <w:b/>
                <w:sz w:val="24"/>
                <w:szCs w:val="24"/>
              </w:rPr>
            </w:pPr>
            <w:r w:rsidRPr="00AF22E1">
              <w:rPr>
                <w:b/>
                <w:sz w:val="24"/>
                <w:szCs w:val="24"/>
              </w:rPr>
              <w:t>To Prepare Admixture:</w:t>
            </w:r>
          </w:p>
        </w:tc>
      </w:tr>
      <w:tr w:rsidR="00AF22E1" w:rsidRPr="00AF22E1" w:rsidTr="00AF22E1">
        <w:tc>
          <w:tcPr>
            <w:tcW w:w="5508" w:type="dxa"/>
          </w:tcPr>
          <w:p w:rsidR="00AF22E1" w:rsidRPr="00AF22E1" w:rsidRDefault="00AF22E1">
            <w:pPr>
              <w:rPr>
                <w:rFonts w:eastAsia="Times New Roman" w:cs="Times New Roman"/>
                <w:sz w:val="24"/>
                <w:szCs w:val="24"/>
              </w:rPr>
            </w:pPr>
            <w:r w:rsidRPr="00EA1385">
              <w:rPr>
                <w:rFonts w:eastAsia="Times New Roman" w:cs="Times New Roman"/>
                <w:sz w:val="24"/>
                <w:szCs w:val="24"/>
              </w:rPr>
              <w:t xml:space="preserve">1. Remove the protective covers from the top of the vial and the vial port on the diluent container as follows: </w:t>
            </w:r>
            <w:r w:rsidRPr="00EA1385">
              <w:rPr>
                <w:rFonts w:eastAsia="Times New Roman" w:cs="Times New Roman"/>
                <w:sz w:val="24"/>
                <w:szCs w:val="24"/>
              </w:rPr>
              <w:br/>
              <w:t>a. To remove the breakaway vial cap, swing the pull ring over the top of the vial and pull down far enough to start the opening (</w:t>
            </w:r>
            <w:r w:rsidRPr="00EA1385">
              <w:rPr>
                <w:rFonts w:eastAsia="Times New Roman" w:cs="Times New Roman"/>
                <w:i/>
                <w:sz w:val="24"/>
                <w:szCs w:val="24"/>
              </w:rPr>
              <w:t>SEE FIGURE 1.</w:t>
            </w:r>
            <w:r w:rsidRPr="00EA1385">
              <w:rPr>
                <w:rFonts w:eastAsia="Times New Roman" w:cs="Times New Roman"/>
                <w:sz w:val="24"/>
                <w:szCs w:val="24"/>
              </w:rPr>
              <w:t>), then pull straight up to remove the cap. (</w:t>
            </w:r>
            <w:r w:rsidRPr="00EA1385">
              <w:rPr>
                <w:rFonts w:eastAsia="Times New Roman" w:cs="Times New Roman"/>
                <w:i/>
                <w:sz w:val="24"/>
                <w:szCs w:val="24"/>
              </w:rPr>
              <w:t>SEE FIGURE 2.</w:t>
            </w:r>
            <w:r w:rsidRPr="00EA1385">
              <w:rPr>
                <w:rFonts w:eastAsia="Times New Roman" w:cs="Times New Roman"/>
                <w:sz w:val="24"/>
                <w:szCs w:val="24"/>
              </w:rPr>
              <w:t>) NOTE: Once the breakaway cap has been removed, do not access vial with syringe.</w:t>
            </w:r>
          </w:p>
          <w:p w:rsidR="00AF22E1" w:rsidRPr="00AF22E1" w:rsidRDefault="00AF22E1" w:rsidP="00AF22E1">
            <w:pPr>
              <w:jc w:val="center"/>
              <w:rPr>
                <w:sz w:val="24"/>
                <w:szCs w:val="24"/>
              </w:rPr>
            </w:pPr>
            <w:r w:rsidRPr="00EA1385">
              <w:rPr>
                <w:rFonts w:eastAsia="Times New Roman" w:cs="Times New Roman"/>
                <w:noProof/>
                <w:sz w:val="24"/>
                <w:szCs w:val="24"/>
              </w:rPr>
              <w:drawing>
                <wp:inline distT="0" distB="0" distL="0" distR="0" wp14:anchorId="77AD2679" wp14:editId="48A9DE7A">
                  <wp:extent cx="1226503" cy="1520458"/>
                  <wp:effectExtent l="0" t="0" r="0" b="3810"/>
                  <wp:docPr id="1" name="Picture 1" descr="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6503" cy="1520458"/>
                          </a:xfrm>
                          <a:prstGeom prst="rect">
                            <a:avLst/>
                          </a:prstGeom>
                          <a:noFill/>
                          <a:ln>
                            <a:noFill/>
                          </a:ln>
                        </pic:spPr>
                      </pic:pic>
                    </a:graphicData>
                  </a:graphic>
                </wp:inline>
              </w:drawing>
            </w:r>
          </w:p>
          <w:p w:rsidR="00AF22E1" w:rsidRPr="00AF22E1" w:rsidRDefault="00AF22E1" w:rsidP="00AF22E1">
            <w:pPr>
              <w:rPr>
                <w:sz w:val="24"/>
                <w:szCs w:val="24"/>
              </w:rPr>
            </w:pPr>
            <w:r w:rsidRPr="00AF22E1">
              <w:rPr>
                <w:sz w:val="24"/>
                <w:szCs w:val="24"/>
              </w:rPr>
              <w:t>b. To remove the vial port cover, grasp the tab on the pull ring, pull up to break the three tie strings, then pull back to remove the cover. (</w:t>
            </w:r>
            <w:r w:rsidRPr="00AF22E1">
              <w:rPr>
                <w:i/>
                <w:sz w:val="24"/>
                <w:szCs w:val="24"/>
              </w:rPr>
              <w:t>SEE FIGURE 3.</w:t>
            </w:r>
            <w:r w:rsidRPr="00AF22E1">
              <w:rPr>
                <w:sz w:val="24"/>
                <w:szCs w:val="24"/>
              </w:rPr>
              <w:t xml:space="preserve">) </w:t>
            </w:r>
          </w:p>
          <w:p w:rsidR="00AF22E1" w:rsidRPr="00AF22E1" w:rsidRDefault="00AF22E1" w:rsidP="00AF22E1">
            <w:pPr>
              <w:rPr>
                <w:sz w:val="24"/>
                <w:szCs w:val="24"/>
              </w:rPr>
            </w:pPr>
            <w:r w:rsidRPr="00AF22E1">
              <w:rPr>
                <w:sz w:val="24"/>
                <w:szCs w:val="24"/>
              </w:rPr>
              <w:t>2. Screw the vial into the vial port until it will go no further. THE VIAL MUST BE SCREWED IN TIGHTLY TO ASSURE A SEAL. This occurs approximately½ turn (180°) after the first audible click. (</w:t>
            </w:r>
            <w:r w:rsidRPr="00AF22E1">
              <w:rPr>
                <w:i/>
                <w:sz w:val="24"/>
                <w:szCs w:val="24"/>
              </w:rPr>
              <w:t>SEE FIGURE 4.</w:t>
            </w:r>
            <w:r w:rsidRPr="00AF22E1">
              <w:rPr>
                <w:sz w:val="24"/>
                <w:szCs w:val="24"/>
              </w:rPr>
              <w:t>) The clicking sound does not assure a seal; the vial must be turned as far as it will go. NOTE: Once vial is seated, do not attempt to remove. (</w:t>
            </w:r>
            <w:r w:rsidRPr="00AF22E1">
              <w:rPr>
                <w:i/>
                <w:sz w:val="24"/>
                <w:szCs w:val="24"/>
              </w:rPr>
              <w:t>SEE FIGURE 4.</w:t>
            </w:r>
            <w:r w:rsidRPr="00AF22E1">
              <w:rPr>
                <w:sz w:val="24"/>
                <w:szCs w:val="24"/>
              </w:rPr>
              <w:t xml:space="preserve">) </w:t>
            </w:r>
            <w:r w:rsidRPr="00AF22E1">
              <w:rPr>
                <w:sz w:val="24"/>
                <w:szCs w:val="24"/>
              </w:rPr>
              <w:br/>
              <w:t xml:space="preserve">3. Recheck the vial to assure that it is tight by trying to turn it further in the direction of assembly. </w:t>
            </w:r>
            <w:r w:rsidRPr="00AF22E1">
              <w:rPr>
                <w:sz w:val="24"/>
                <w:szCs w:val="24"/>
              </w:rPr>
              <w:br/>
              <w:t xml:space="preserve">4. Label appropriately. </w:t>
            </w:r>
          </w:p>
          <w:p w:rsidR="00AF22E1" w:rsidRPr="00AF22E1" w:rsidRDefault="00AF22E1" w:rsidP="00AF22E1">
            <w:pPr>
              <w:jc w:val="center"/>
              <w:rPr>
                <w:sz w:val="24"/>
                <w:szCs w:val="24"/>
              </w:rPr>
            </w:pPr>
            <w:r w:rsidRPr="00EA1385">
              <w:rPr>
                <w:rFonts w:eastAsia="Times New Roman" w:cs="Times New Roman"/>
                <w:noProof/>
                <w:sz w:val="24"/>
                <w:szCs w:val="24"/>
              </w:rPr>
              <w:drawing>
                <wp:inline distT="0" distB="0" distL="0" distR="0" wp14:anchorId="37C8C52A" wp14:editId="2C40A3BE">
                  <wp:extent cx="1346927" cy="1461372"/>
                  <wp:effectExtent l="0" t="0" r="5715" b="5715"/>
                  <wp:docPr id="2" name="Picture 2" descr="Ch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1446" cy="1466275"/>
                          </a:xfrm>
                          <a:prstGeom prst="rect">
                            <a:avLst/>
                          </a:prstGeom>
                          <a:noFill/>
                          <a:ln>
                            <a:noFill/>
                          </a:ln>
                        </pic:spPr>
                      </pic:pic>
                    </a:graphicData>
                  </a:graphic>
                </wp:inline>
              </w:drawing>
            </w:r>
          </w:p>
        </w:tc>
        <w:tc>
          <w:tcPr>
            <w:tcW w:w="5508" w:type="dxa"/>
          </w:tcPr>
          <w:p w:rsidR="00AF22E1" w:rsidRPr="00AF22E1" w:rsidRDefault="00AF22E1" w:rsidP="00AF22E1">
            <w:pPr>
              <w:rPr>
                <w:rFonts w:eastAsia="Times New Roman" w:cs="Times New Roman"/>
                <w:noProof/>
                <w:sz w:val="24"/>
                <w:szCs w:val="24"/>
              </w:rPr>
            </w:pPr>
            <w:r w:rsidRPr="00EA1385">
              <w:rPr>
                <w:rFonts w:eastAsia="Times New Roman" w:cs="Times New Roman"/>
                <w:sz w:val="24"/>
                <w:szCs w:val="24"/>
              </w:rPr>
              <w:t xml:space="preserve">1. Squeeze the bottom of the diluent container gently to inflate the portion of the container surrounding the end of the drug vial. </w:t>
            </w:r>
            <w:r w:rsidRPr="00EA1385">
              <w:rPr>
                <w:rFonts w:eastAsia="Times New Roman" w:cs="Times New Roman"/>
                <w:sz w:val="24"/>
                <w:szCs w:val="24"/>
              </w:rPr>
              <w:br/>
              <w:t>2. With the other hand, push the drug vial down into the container telescoping the walls of the container. Grasp the inner cap of the vial through the walls of the container. (</w:t>
            </w:r>
            <w:r w:rsidRPr="00EA1385">
              <w:rPr>
                <w:rFonts w:eastAsia="Times New Roman" w:cs="Times New Roman"/>
                <w:i/>
                <w:sz w:val="24"/>
                <w:szCs w:val="24"/>
              </w:rPr>
              <w:t>SEE FIGURE 5.</w:t>
            </w:r>
            <w:r w:rsidRPr="00EA1385">
              <w:rPr>
                <w:rFonts w:eastAsia="Times New Roman" w:cs="Times New Roman"/>
                <w:sz w:val="24"/>
                <w:szCs w:val="24"/>
              </w:rPr>
              <w:t xml:space="preserve">) </w:t>
            </w:r>
            <w:r w:rsidRPr="00EA1385">
              <w:rPr>
                <w:rFonts w:eastAsia="Times New Roman" w:cs="Times New Roman"/>
                <w:sz w:val="24"/>
                <w:szCs w:val="24"/>
              </w:rPr>
              <w:br/>
              <w:t>3. Pull the inner cap from the drug vial. (</w:t>
            </w:r>
            <w:r w:rsidRPr="00EA1385">
              <w:rPr>
                <w:rFonts w:eastAsia="Times New Roman" w:cs="Times New Roman"/>
                <w:i/>
                <w:sz w:val="24"/>
                <w:szCs w:val="24"/>
              </w:rPr>
              <w:t>SEE FIGURE 6.</w:t>
            </w:r>
            <w:r w:rsidRPr="00EA1385">
              <w:rPr>
                <w:rFonts w:eastAsia="Times New Roman" w:cs="Times New Roman"/>
                <w:sz w:val="24"/>
                <w:szCs w:val="24"/>
              </w:rPr>
              <w:t xml:space="preserve">) Verify that the rubber stopper has been pulled out, allowing the drug and diluent to mix. </w:t>
            </w:r>
            <w:r w:rsidRPr="00EA1385">
              <w:rPr>
                <w:rFonts w:eastAsia="Times New Roman" w:cs="Times New Roman"/>
                <w:sz w:val="24"/>
                <w:szCs w:val="24"/>
              </w:rPr>
              <w:br/>
              <w:t xml:space="preserve">4. Mix container contents thoroughly and use within the specified time. </w:t>
            </w:r>
            <w:r w:rsidRPr="00EA1385">
              <w:rPr>
                <w:rFonts w:eastAsia="Times New Roman" w:cs="Times New Roman"/>
                <w:sz w:val="24"/>
                <w:szCs w:val="24"/>
              </w:rPr>
              <w:br/>
            </w:r>
          </w:p>
          <w:p w:rsidR="00AF22E1" w:rsidRPr="00AF22E1" w:rsidRDefault="00AF22E1" w:rsidP="00AF22E1">
            <w:pPr>
              <w:jc w:val="center"/>
              <w:rPr>
                <w:rFonts w:eastAsia="Times New Roman" w:cs="Times New Roman"/>
                <w:sz w:val="24"/>
                <w:szCs w:val="24"/>
              </w:rPr>
            </w:pPr>
            <w:r w:rsidRPr="00EA1385">
              <w:rPr>
                <w:rFonts w:ascii="Times New Roman" w:eastAsia="Times New Roman" w:hAnsi="Times New Roman" w:cs="Times New Roman"/>
                <w:noProof/>
                <w:sz w:val="24"/>
                <w:szCs w:val="24"/>
              </w:rPr>
              <w:drawing>
                <wp:inline distT="0" distB="0" distL="0" distR="0" wp14:anchorId="46D66E70" wp14:editId="2B57A44B">
                  <wp:extent cx="1959269" cy="1876425"/>
                  <wp:effectExtent l="0" t="0" r="3175" b="0"/>
                  <wp:docPr id="4" name="Picture 4" descr="Ch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t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269" cy="1876425"/>
                          </a:xfrm>
                          <a:prstGeom prst="rect">
                            <a:avLst/>
                          </a:prstGeom>
                          <a:noFill/>
                          <a:ln>
                            <a:noFill/>
                          </a:ln>
                        </pic:spPr>
                      </pic:pic>
                    </a:graphicData>
                  </a:graphic>
                </wp:inline>
              </w:drawing>
            </w:r>
          </w:p>
          <w:p w:rsidR="00AF22E1" w:rsidRPr="00AF22E1" w:rsidRDefault="00AF22E1">
            <w:pPr>
              <w:rPr>
                <w:rFonts w:eastAsia="Times New Roman" w:cs="Times New Roman"/>
                <w:sz w:val="24"/>
                <w:szCs w:val="24"/>
              </w:rPr>
            </w:pPr>
            <w:r w:rsidRPr="00AF22E1">
              <w:rPr>
                <w:rFonts w:eastAsia="Times New Roman" w:cs="Times New Roman"/>
                <w:sz w:val="24"/>
                <w:szCs w:val="24"/>
              </w:rPr>
              <w:t xml:space="preserve">5. Confirm the activation and admixture of vial contents. </w:t>
            </w:r>
          </w:p>
          <w:p w:rsidR="00AF22E1" w:rsidRPr="00AF22E1" w:rsidRDefault="00AF22E1">
            <w:pPr>
              <w:rPr>
                <w:rFonts w:eastAsia="Times New Roman" w:cs="Times New Roman"/>
                <w:sz w:val="24"/>
                <w:szCs w:val="24"/>
              </w:rPr>
            </w:pPr>
            <w:r w:rsidRPr="00AF22E1">
              <w:rPr>
                <w:rFonts w:eastAsia="Times New Roman" w:cs="Times New Roman"/>
                <w:sz w:val="24"/>
                <w:szCs w:val="24"/>
              </w:rPr>
              <w:t>6. Check for leaks by squeezing container firmly. If leaks are found, discard unit as sterility may be impaired.</w:t>
            </w:r>
          </w:p>
          <w:p w:rsidR="00AF22E1" w:rsidRDefault="00AF22E1">
            <w:pPr>
              <w:rPr>
                <w:sz w:val="24"/>
                <w:szCs w:val="24"/>
              </w:rPr>
            </w:pPr>
          </w:p>
          <w:p w:rsidR="00AF22E1" w:rsidRDefault="00AF22E1">
            <w:pPr>
              <w:rPr>
                <w:sz w:val="24"/>
                <w:szCs w:val="24"/>
              </w:rPr>
            </w:pPr>
          </w:p>
          <w:p w:rsidR="00AF22E1" w:rsidRDefault="00AF22E1">
            <w:pPr>
              <w:rPr>
                <w:sz w:val="24"/>
                <w:szCs w:val="24"/>
              </w:rPr>
            </w:pPr>
          </w:p>
          <w:p w:rsidR="00AF22E1" w:rsidRDefault="00AF22E1">
            <w:pPr>
              <w:rPr>
                <w:sz w:val="24"/>
                <w:szCs w:val="24"/>
              </w:rPr>
            </w:pPr>
          </w:p>
          <w:p w:rsidR="00AF22E1" w:rsidRPr="00AF22E1" w:rsidRDefault="00AF22E1" w:rsidP="00AF22E1">
            <w:pPr>
              <w:rPr>
                <w:sz w:val="24"/>
                <w:szCs w:val="24"/>
              </w:rPr>
            </w:pPr>
          </w:p>
          <w:p w:rsidR="00AF22E1" w:rsidRPr="00AF22E1" w:rsidRDefault="00AF22E1" w:rsidP="00AF22E1">
            <w:pPr>
              <w:rPr>
                <w:sz w:val="24"/>
                <w:szCs w:val="24"/>
              </w:rPr>
            </w:pPr>
            <w:r w:rsidRPr="00AF22E1">
              <w:rPr>
                <w:b/>
                <w:i/>
                <w:sz w:val="24"/>
                <w:szCs w:val="24"/>
              </w:rPr>
              <w:t>Video Information</w:t>
            </w:r>
            <w:r w:rsidRPr="00AF22E1">
              <w:rPr>
                <w:b/>
                <w:i/>
                <w:sz w:val="24"/>
                <w:szCs w:val="24"/>
              </w:rPr>
              <w:t xml:space="preserve"> Resource</w:t>
            </w:r>
            <w:r w:rsidRPr="00AF22E1">
              <w:rPr>
                <w:b/>
                <w:i/>
                <w:sz w:val="24"/>
                <w:szCs w:val="24"/>
              </w:rPr>
              <w:t xml:space="preserve">: </w:t>
            </w:r>
            <w:hyperlink r:id="rId8" w:history="1">
              <w:r w:rsidRPr="00AF22E1">
                <w:rPr>
                  <w:rStyle w:val="Hyperlink"/>
                  <w:sz w:val="24"/>
                  <w:szCs w:val="24"/>
                </w:rPr>
                <w:t>https://www.youtube.com/watch?v=aFoHldOybZ8</w:t>
              </w:r>
            </w:hyperlink>
          </w:p>
          <w:p w:rsidR="00AF22E1" w:rsidRDefault="00AF22E1">
            <w:pPr>
              <w:rPr>
                <w:sz w:val="24"/>
                <w:szCs w:val="24"/>
              </w:rPr>
            </w:pPr>
          </w:p>
          <w:p w:rsidR="004C20A3" w:rsidRDefault="004C20A3">
            <w:pPr>
              <w:rPr>
                <w:sz w:val="24"/>
                <w:szCs w:val="24"/>
              </w:rPr>
            </w:pPr>
          </w:p>
          <w:p w:rsidR="004C20A3" w:rsidRDefault="004C20A3" w:rsidP="004C20A3">
            <w:pPr>
              <w:jc w:val="right"/>
              <w:rPr>
                <w:sz w:val="24"/>
                <w:szCs w:val="24"/>
              </w:rPr>
            </w:pPr>
            <w:r>
              <w:rPr>
                <w:sz w:val="24"/>
                <w:szCs w:val="24"/>
              </w:rPr>
              <w:t xml:space="preserve">UConn Health Department of Pharmacy </w:t>
            </w:r>
          </w:p>
          <w:p w:rsidR="004C20A3" w:rsidRPr="00AF22E1" w:rsidRDefault="004C20A3" w:rsidP="004C20A3">
            <w:pPr>
              <w:jc w:val="right"/>
              <w:rPr>
                <w:sz w:val="24"/>
                <w:szCs w:val="24"/>
              </w:rPr>
            </w:pPr>
            <w:r>
              <w:rPr>
                <w:sz w:val="24"/>
                <w:szCs w:val="24"/>
              </w:rPr>
              <w:t>Last Updated 9/27/2017</w:t>
            </w:r>
          </w:p>
        </w:tc>
        <w:bookmarkStart w:id="0" w:name="_GoBack"/>
        <w:bookmarkEnd w:id="0"/>
      </w:tr>
    </w:tbl>
    <w:p w:rsidR="00AF22E1" w:rsidRPr="00AF22E1" w:rsidRDefault="00AF22E1">
      <w:pPr>
        <w:rPr>
          <w:sz w:val="24"/>
          <w:szCs w:val="24"/>
        </w:rPr>
      </w:pPr>
    </w:p>
    <w:p w:rsidR="00AF22E1" w:rsidRPr="00AF22E1" w:rsidRDefault="00AF22E1">
      <w:pPr>
        <w:rPr>
          <w:sz w:val="24"/>
          <w:szCs w:val="24"/>
        </w:rPr>
      </w:pPr>
    </w:p>
    <w:sectPr w:rsidR="00AF22E1" w:rsidRPr="00AF22E1" w:rsidSect="004C20A3">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E1"/>
    <w:rsid w:val="004C20A3"/>
    <w:rsid w:val="006D3581"/>
    <w:rsid w:val="00AF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2E1"/>
    <w:rPr>
      <w:color w:val="0000FF" w:themeColor="hyperlink"/>
      <w:u w:val="single"/>
    </w:rPr>
  </w:style>
  <w:style w:type="table" w:styleId="TableGrid">
    <w:name w:val="Table Grid"/>
    <w:basedOn w:val="TableNormal"/>
    <w:uiPriority w:val="59"/>
    <w:rsid w:val="00AF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22E1"/>
    <w:rPr>
      <w:rFonts w:ascii="Tahoma" w:hAnsi="Tahoma" w:cs="Tahoma"/>
      <w:sz w:val="16"/>
      <w:szCs w:val="16"/>
    </w:rPr>
  </w:style>
  <w:style w:type="character" w:customStyle="1" w:styleId="BalloonTextChar">
    <w:name w:val="Balloon Text Char"/>
    <w:basedOn w:val="DefaultParagraphFont"/>
    <w:link w:val="BalloonText"/>
    <w:uiPriority w:val="99"/>
    <w:semiHidden/>
    <w:rsid w:val="00AF2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2E1"/>
    <w:rPr>
      <w:color w:val="0000FF" w:themeColor="hyperlink"/>
      <w:u w:val="single"/>
    </w:rPr>
  </w:style>
  <w:style w:type="table" w:styleId="TableGrid">
    <w:name w:val="Table Grid"/>
    <w:basedOn w:val="TableNormal"/>
    <w:uiPriority w:val="59"/>
    <w:rsid w:val="00AF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22E1"/>
    <w:rPr>
      <w:rFonts w:ascii="Tahoma" w:hAnsi="Tahoma" w:cs="Tahoma"/>
      <w:sz w:val="16"/>
      <w:szCs w:val="16"/>
    </w:rPr>
  </w:style>
  <w:style w:type="character" w:customStyle="1" w:styleId="BalloonTextChar">
    <w:name w:val="Balloon Text Char"/>
    <w:basedOn w:val="DefaultParagraphFont"/>
    <w:link w:val="BalloonText"/>
    <w:uiPriority w:val="99"/>
    <w:semiHidden/>
    <w:rsid w:val="00AF2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FoHldOybZ8"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Kalish,Ruth LaCasse</dc:creator>
  <cp:lastModifiedBy>Kalish,Ruth LaCasse</cp:lastModifiedBy>
  <cp:revision>1</cp:revision>
  <dcterms:created xsi:type="dcterms:W3CDTF">2017-09-27T19:46:00Z</dcterms:created>
  <dcterms:modified xsi:type="dcterms:W3CDTF">2017-09-27T20:11:00Z</dcterms:modified>
</cp:coreProperties>
</file>