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15" w:rsidRPr="00B36015" w:rsidRDefault="00EE7954" w:rsidP="00B36015">
      <w:pPr>
        <w:pStyle w:val="Header"/>
        <w:jc w:val="center"/>
        <w:rPr>
          <w:rFonts w:cs="Times New Roman"/>
          <w:b/>
          <w:sz w:val="24"/>
          <w:szCs w:val="24"/>
          <w:u w:val="single"/>
        </w:rPr>
      </w:pPr>
      <w:proofErr w:type="spellStart"/>
      <w:r w:rsidRPr="00B36015">
        <w:rPr>
          <w:rFonts w:cs="Times New Roman"/>
          <w:b/>
          <w:sz w:val="24"/>
          <w:szCs w:val="24"/>
          <w:u w:val="single"/>
        </w:rPr>
        <w:t>Procalcitonin</w:t>
      </w:r>
      <w:proofErr w:type="spellEnd"/>
      <w:r w:rsidRPr="00B36015">
        <w:rPr>
          <w:rFonts w:cs="Times New Roman"/>
          <w:b/>
          <w:sz w:val="24"/>
          <w:szCs w:val="24"/>
          <w:u w:val="single"/>
        </w:rPr>
        <w:t xml:space="preserve"> Levels and Clinical Interpretation</w:t>
      </w:r>
    </w:p>
    <w:p w:rsidR="003E547E" w:rsidRPr="00B36015" w:rsidRDefault="002C2BF4" w:rsidP="003E547E">
      <w:pPr>
        <w:rPr>
          <w:rFonts w:cs="Times New Roman"/>
          <w:sz w:val="24"/>
          <w:szCs w:val="24"/>
        </w:rPr>
      </w:pPr>
      <w:proofErr w:type="spellStart"/>
      <w:r w:rsidRPr="00B36015">
        <w:rPr>
          <w:rFonts w:cs="Times New Roman"/>
          <w:sz w:val="24"/>
          <w:szCs w:val="24"/>
        </w:rPr>
        <w:t>Procalcitonin</w:t>
      </w:r>
      <w:proofErr w:type="spellEnd"/>
      <w:r w:rsidRPr="00B36015">
        <w:rPr>
          <w:rFonts w:cs="Times New Roman"/>
          <w:sz w:val="24"/>
          <w:szCs w:val="24"/>
        </w:rPr>
        <w:t xml:space="preserve"> </w:t>
      </w:r>
      <w:r w:rsidR="00E82D1D" w:rsidRPr="00B36015">
        <w:rPr>
          <w:rFonts w:cs="Times New Roman"/>
          <w:sz w:val="24"/>
          <w:szCs w:val="24"/>
        </w:rPr>
        <w:t xml:space="preserve">(PCT) </w:t>
      </w:r>
      <w:r w:rsidR="003E547E" w:rsidRPr="00B36015">
        <w:rPr>
          <w:rFonts w:cs="Times New Roman"/>
          <w:sz w:val="24"/>
          <w:szCs w:val="24"/>
        </w:rPr>
        <w:t>is a sensitive and specific</w:t>
      </w:r>
      <w:r w:rsidRPr="00B36015">
        <w:rPr>
          <w:rFonts w:cs="Times New Roman"/>
          <w:sz w:val="24"/>
          <w:szCs w:val="24"/>
        </w:rPr>
        <w:t xml:space="preserve"> biomarker </w:t>
      </w:r>
      <w:r w:rsidR="003E547E" w:rsidRPr="00B36015">
        <w:rPr>
          <w:rFonts w:cs="Times New Roman"/>
          <w:sz w:val="24"/>
          <w:szCs w:val="24"/>
        </w:rPr>
        <w:t>that can</w:t>
      </w:r>
      <w:r w:rsidRPr="00B36015">
        <w:rPr>
          <w:rFonts w:cs="Times New Roman"/>
          <w:sz w:val="24"/>
          <w:szCs w:val="24"/>
        </w:rPr>
        <w:t xml:space="preserve"> assist the clinician in the diagnosis and treatment of bacterial infection. </w:t>
      </w:r>
      <w:proofErr w:type="spellStart"/>
      <w:r w:rsidR="002D0E11">
        <w:rPr>
          <w:rFonts w:cs="Times New Roman"/>
          <w:sz w:val="24"/>
          <w:szCs w:val="24"/>
        </w:rPr>
        <w:t>P</w:t>
      </w:r>
      <w:r w:rsidRPr="00B36015">
        <w:rPr>
          <w:rFonts w:cs="Times New Roman"/>
          <w:sz w:val="24"/>
          <w:szCs w:val="24"/>
        </w:rPr>
        <w:t>rocalcitonin</w:t>
      </w:r>
      <w:proofErr w:type="spellEnd"/>
      <w:r w:rsidRPr="00B36015">
        <w:rPr>
          <w:rFonts w:cs="Times New Roman"/>
          <w:sz w:val="24"/>
          <w:szCs w:val="24"/>
        </w:rPr>
        <w:t xml:space="preserve"> has been studied most thoroughly for lower respiratory tract infections </w:t>
      </w:r>
      <w:r w:rsidR="00B260A8" w:rsidRPr="00B36015">
        <w:rPr>
          <w:rFonts w:cs="Times New Roman"/>
          <w:sz w:val="24"/>
          <w:szCs w:val="24"/>
        </w:rPr>
        <w:t xml:space="preserve">(LRTI) </w:t>
      </w:r>
      <w:r w:rsidRPr="00B36015">
        <w:rPr>
          <w:rFonts w:cs="Times New Roman"/>
          <w:sz w:val="24"/>
          <w:szCs w:val="24"/>
        </w:rPr>
        <w:t xml:space="preserve">and sepsis and its use is associated with decreased antimicrobial usage </w:t>
      </w:r>
      <w:r w:rsidR="003E547E" w:rsidRPr="00B36015">
        <w:rPr>
          <w:rFonts w:cs="Times New Roman"/>
          <w:sz w:val="24"/>
          <w:szCs w:val="24"/>
        </w:rPr>
        <w:t>no negative impacts on</w:t>
      </w:r>
      <w:r w:rsidRPr="00B36015">
        <w:rPr>
          <w:rFonts w:cs="Times New Roman"/>
          <w:sz w:val="24"/>
          <w:szCs w:val="24"/>
        </w:rPr>
        <w:t xml:space="preserve"> clinical outcomes.</w:t>
      </w:r>
    </w:p>
    <w:p w:rsidR="00542B64" w:rsidRDefault="00542B64" w:rsidP="003E547E">
      <w:pPr>
        <w:rPr>
          <w:rFonts w:cs="Times New Roman"/>
          <w:sz w:val="24"/>
          <w:szCs w:val="24"/>
        </w:rPr>
      </w:pPr>
      <w:r w:rsidRPr="00B36015">
        <w:rPr>
          <w:rFonts w:cs="Times New Roman"/>
          <w:b/>
          <w:sz w:val="24"/>
          <w:szCs w:val="24"/>
        </w:rPr>
        <w:t>At UConn Health, starting November 1</w:t>
      </w:r>
      <w:r w:rsidRPr="00B36015">
        <w:rPr>
          <w:rFonts w:cs="Times New Roman"/>
          <w:b/>
          <w:sz w:val="24"/>
          <w:szCs w:val="24"/>
          <w:vertAlign w:val="superscript"/>
        </w:rPr>
        <w:t>st</w:t>
      </w:r>
      <w:r w:rsidRPr="00B36015">
        <w:rPr>
          <w:rFonts w:cs="Times New Roman"/>
          <w:sz w:val="24"/>
          <w:szCs w:val="24"/>
        </w:rPr>
        <w:t xml:space="preserve">, </w:t>
      </w:r>
      <w:proofErr w:type="spellStart"/>
      <w:r w:rsidRPr="00B36015">
        <w:rPr>
          <w:rFonts w:cs="Times New Roman"/>
          <w:sz w:val="24"/>
          <w:szCs w:val="24"/>
        </w:rPr>
        <w:t>procalcitonin</w:t>
      </w:r>
      <w:proofErr w:type="spellEnd"/>
      <w:r w:rsidRPr="00B36015">
        <w:rPr>
          <w:rFonts w:cs="Times New Roman"/>
          <w:sz w:val="24"/>
          <w:szCs w:val="24"/>
        </w:rPr>
        <w:t xml:space="preserve"> can be ordered for ED patients and inpatients only.  It is available for order 24 hours a day, seven days a week</w:t>
      </w:r>
      <w:r w:rsidR="002D0E11">
        <w:rPr>
          <w:rFonts w:cs="Times New Roman"/>
          <w:sz w:val="24"/>
          <w:szCs w:val="24"/>
        </w:rPr>
        <w:t xml:space="preserve"> with an estimated </w:t>
      </w:r>
      <w:proofErr w:type="spellStart"/>
      <w:r w:rsidR="002D0E11">
        <w:rPr>
          <w:rFonts w:cs="Times New Roman"/>
          <w:sz w:val="24"/>
          <w:szCs w:val="24"/>
        </w:rPr>
        <w:t>turn around</w:t>
      </w:r>
      <w:proofErr w:type="spellEnd"/>
      <w:r w:rsidR="002D0E11">
        <w:rPr>
          <w:rFonts w:cs="Times New Roman"/>
          <w:sz w:val="24"/>
          <w:szCs w:val="24"/>
        </w:rPr>
        <w:t xml:space="preserve"> time of 20 minutes to one hour</w:t>
      </w:r>
      <w:r w:rsidRPr="00B36015">
        <w:rPr>
          <w:rFonts w:cs="Times New Roman"/>
          <w:sz w:val="24"/>
          <w:szCs w:val="24"/>
        </w:rPr>
        <w:t>.</w:t>
      </w:r>
      <w:r w:rsidR="002D0E11">
        <w:rPr>
          <w:rFonts w:cs="Times New Roman"/>
          <w:sz w:val="24"/>
          <w:szCs w:val="24"/>
        </w:rPr>
        <w:t xml:space="preserve">  Testing will be monitored by our antibiotic stewardship program.</w:t>
      </w:r>
    </w:p>
    <w:p w:rsidR="002D0E11" w:rsidRPr="00B36015" w:rsidRDefault="002D0E11" w:rsidP="003E547E">
      <w:pPr>
        <w:rPr>
          <w:rStyle w:val="Strong"/>
          <w:rFonts w:cs="Times New Roman"/>
          <w:b w:val="0"/>
          <w:bCs w:val="0"/>
          <w:sz w:val="24"/>
          <w:szCs w:val="24"/>
        </w:rPr>
      </w:pPr>
    </w:p>
    <w:tbl>
      <w:tblPr>
        <w:tblStyle w:val="TableGrid"/>
        <w:tblW w:w="10733" w:type="dxa"/>
        <w:tblInd w:w="175" w:type="dxa"/>
        <w:tblLook w:val="04A0" w:firstRow="1" w:lastRow="0" w:firstColumn="1" w:lastColumn="0" w:noHBand="0" w:noVBand="1"/>
      </w:tblPr>
      <w:tblGrid>
        <w:gridCol w:w="2003"/>
        <w:gridCol w:w="1620"/>
        <w:gridCol w:w="7110"/>
      </w:tblGrid>
      <w:tr w:rsidR="00E82D1D" w:rsidRPr="00B36015" w:rsidTr="00E82D1D">
        <w:trPr>
          <w:trHeight w:val="413"/>
        </w:trPr>
        <w:tc>
          <w:tcPr>
            <w:tcW w:w="10733" w:type="dxa"/>
            <w:gridSpan w:val="3"/>
          </w:tcPr>
          <w:p w:rsidR="00E82D1D" w:rsidRPr="00B36015" w:rsidRDefault="002D0E11" w:rsidP="00E019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 Interpretation – with each result the following ranges and comments will be included</w:t>
            </w:r>
          </w:p>
        </w:tc>
      </w:tr>
      <w:tr w:rsidR="00D131CA" w:rsidRPr="00B36015" w:rsidTr="0004524E">
        <w:trPr>
          <w:trHeight w:val="413"/>
        </w:trPr>
        <w:tc>
          <w:tcPr>
            <w:tcW w:w="2003" w:type="dxa"/>
          </w:tcPr>
          <w:p w:rsidR="00D131CA" w:rsidRPr="00B36015" w:rsidRDefault="00D131CA" w:rsidP="00E01999">
            <w:pPr>
              <w:rPr>
                <w:b/>
                <w:sz w:val="24"/>
                <w:szCs w:val="24"/>
              </w:rPr>
            </w:pPr>
            <w:r w:rsidRPr="00B36015">
              <w:rPr>
                <w:b/>
                <w:sz w:val="24"/>
                <w:szCs w:val="24"/>
              </w:rPr>
              <w:t>Normal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131CA" w:rsidRPr="00B36015" w:rsidRDefault="00D131CA" w:rsidP="00E01999">
            <w:pPr>
              <w:rPr>
                <w:sz w:val="24"/>
                <w:szCs w:val="24"/>
              </w:rPr>
            </w:pPr>
            <w:r w:rsidRPr="00B36015">
              <w:rPr>
                <w:sz w:val="24"/>
                <w:szCs w:val="24"/>
              </w:rPr>
              <w:t>&lt;0.1 ng/mL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D131CA" w:rsidRPr="00B36015" w:rsidRDefault="00D131CA" w:rsidP="00E01999">
            <w:pPr>
              <w:rPr>
                <w:sz w:val="24"/>
                <w:szCs w:val="24"/>
              </w:rPr>
            </w:pPr>
            <w:r w:rsidRPr="00B36015">
              <w:rPr>
                <w:sz w:val="24"/>
                <w:szCs w:val="24"/>
              </w:rPr>
              <w:t>Reference value</w:t>
            </w:r>
            <w:r w:rsidR="00B36015" w:rsidRPr="00B36015">
              <w:rPr>
                <w:sz w:val="24"/>
                <w:szCs w:val="24"/>
              </w:rPr>
              <w:t>.  Normal.  Antibiotics discouraged.</w:t>
            </w:r>
          </w:p>
        </w:tc>
      </w:tr>
      <w:tr w:rsidR="006F0D4C" w:rsidRPr="00B36015" w:rsidTr="0004524E">
        <w:trPr>
          <w:trHeight w:val="530"/>
        </w:trPr>
        <w:tc>
          <w:tcPr>
            <w:tcW w:w="2003" w:type="dxa"/>
            <w:vMerge w:val="restart"/>
          </w:tcPr>
          <w:p w:rsidR="006F0D4C" w:rsidRPr="00B36015" w:rsidRDefault="006F0D4C" w:rsidP="00E01999">
            <w:pPr>
              <w:rPr>
                <w:b/>
                <w:sz w:val="24"/>
                <w:szCs w:val="24"/>
              </w:rPr>
            </w:pPr>
            <w:r w:rsidRPr="00B36015">
              <w:rPr>
                <w:b/>
                <w:sz w:val="24"/>
                <w:szCs w:val="24"/>
              </w:rPr>
              <w:t>Suspected Lower Respiratory Tract Infection</w:t>
            </w:r>
            <w:r w:rsidR="002D0E11">
              <w:rPr>
                <w:b/>
                <w:sz w:val="24"/>
                <w:szCs w:val="24"/>
              </w:rPr>
              <w:t xml:space="preserve"> or Suspected Sepsis*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6F0D4C" w:rsidRPr="00B36015" w:rsidRDefault="006F0D4C" w:rsidP="00E01999">
            <w:pPr>
              <w:rPr>
                <w:sz w:val="24"/>
                <w:szCs w:val="24"/>
              </w:rPr>
            </w:pPr>
            <w:r w:rsidRPr="00B36015">
              <w:rPr>
                <w:sz w:val="24"/>
                <w:szCs w:val="24"/>
              </w:rPr>
              <w:t>0.1-0.25 ng/mL</w:t>
            </w:r>
          </w:p>
        </w:tc>
        <w:tc>
          <w:tcPr>
            <w:tcW w:w="7110" w:type="dxa"/>
            <w:tcBorders>
              <w:bottom w:val="single" w:sz="4" w:space="0" w:color="000000"/>
            </w:tcBorders>
          </w:tcPr>
          <w:p w:rsidR="006F0D4C" w:rsidRPr="00B36015" w:rsidRDefault="006F0D4C" w:rsidP="00E01999">
            <w:pPr>
              <w:rPr>
                <w:sz w:val="24"/>
                <w:szCs w:val="24"/>
              </w:rPr>
            </w:pPr>
            <w:r w:rsidRPr="00B36015">
              <w:rPr>
                <w:sz w:val="24"/>
                <w:szCs w:val="24"/>
              </w:rPr>
              <w:t>Low likelihood of bacterial infection; antibiotics discouraged</w:t>
            </w:r>
          </w:p>
        </w:tc>
      </w:tr>
      <w:tr w:rsidR="006F0D4C" w:rsidRPr="00B36015" w:rsidTr="0004524E">
        <w:trPr>
          <w:trHeight w:val="440"/>
        </w:trPr>
        <w:tc>
          <w:tcPr>
            <w:tcW w:w="2003" w:type="dxa"/>
            <w:vMerge/>
          </w:tcPr>
          <w:p w:rsidR="006F0D4C" w:rsidRPr="00B36015" w:rsidRDefault="006F0D4C" w:rsidP="00E01999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auto"/>
            </w:tcBorders>
          </w:tcPr>
          <w:p w:rsidR="006F0D4C" w:rsidRPr="00B36015" w:rsidRDefault="006F0D4C" w:rsidP="00E01999">
            <w:pPr>
              <w:rPr>
                <w:sz w:val="24"/>
                <w:szCs w:val="24"/>
              </w:rPr>
            </w:pPr>
            <w:r w:rsidRPr="00B36015">
              <w:rPr>
                <w:sz w:val="24"/>
                <w:szCs w:val="24"/>
              </w:rPr>
              <w:t>&gt;0.25 ng/mL</w:t>
            </w:r>
          </w:p>
        </w:tc>
        <w:tc>
          <w:tcPr>
            <w:tcW w:w="7110" w:type="dxa"/>
            <w:tcBorders>
              <w:top w:val="single" w:sz="4" w:space="0" w:color="000000"/>
              <w:bottom w:val="single" w:sz="4" w:space="0" w:color="auto"/>
            </w:tcBorders>
          </w:tcPr>
          <w:p w:rsidR="006F0D4C" w:rsidRPr="00B36015" w:rsidRDefault="006F0D4C" w:rsidP="00E01999">
            <w:pPr>
              <w:rPr>
                <w:sz w:val="24"/>
                <w:szCs w:val="24"/>
              </w:rPr>
            </w:pPr>
            <w:r w:rsidRPr="00B36015">
              <w:rPr>
                <w:sz w:val="24"/>
                <w:szCs w:val="24"/>
              </w:rPr>
              <w:t>Increased likelihood of bacterial infection; antibiotics encouraged</w:t>
            </w:r>
          </w:p>
          <w:p w:rsidR="006F0D4C" w:rsidRPr="00B36015" w:rsidRDefault="006F0D4C" w:rsidP="00E01999">
            <w:pPr>
              <w:rPr>
                <w:sz w:val="24"/>
                <w:szCs w:val="24"/>
              </w:rPr>
            </w:pPr>
          </w:p>
        </w:tc>
      </w:tr>
      <w:tr w:rsidR="006F0D4C" w:rsidRPr="00B36015" w:rsidTr="0004524E">
        <w:trPr>
          <w:trHeight w:val="521"/>
        </w:trPr>
        <w:tc>
          <w:tcPr>
            <w:tcW w:w="2003" w:type="dxa"/>
            <w:vMerge/>
          </w:tcPr>
          <w:p w:rsidR="006F0D4C" w:rsidRPr="00B36015" w:rsidRDefault="006F0D4C" w:rsidP="00E01999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/>
            </w:tcBorders>
          </w:tcPr>
          <w:p w:rsidR="006F0D4C" w:rsidRPr="00B36015" w:rsidRDefault="003E547E" w:rsidP="00E01999">
            <w:pPr>
              <w:rPr>
                <w:sz w:val="24"/>
                <w:szCs w:val="24"/>
              </w:rPr>
            </w:pPr>
            <w:r w:rsidRPr="00B36015">
              <w:rPr>
                <w:sz w:val="24"/>
                <w:szCs w:val="24"/>
              </w:rPr>
              <w:t>&gt;0.5 ng/mL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F0D4C" w:rsidRPr="00B36015" w:rsidRDefault="006F0D4C" w:rsidP="00E01999">
            <w:pPr>
              <w:rPr>
                <w:sz w:val="24"/>
                <w:szCs w:val="24"/>
              </w:rPr>
            </w:pPr>
            <w:r w:rsidRPr="00B36015">
              <w:rPr>
                <w:sz w:val="24"/>
                <w:szCs w:val="24"/>
              </w:rPr>
              <w:t xml:space="preserve">Strong likelihood of bacterial infection; antibiotics strongly encouraged </w:t>
            </w:r>
          </w:p>
        </w:tc>
      </w:tr>
    </w:tbl>
    <w:p w:rsidR="00B36015" w:rsidRPr="00B36015" w:rsidRDefault="00D131CA" w:rsidP="00B36015">
      <w:pPr>
        <w:pStyle w:val="NormalWeb"/>
        <w:shd w:val="clear" w:color="auto" w:fill="FFFFFF"/>
        <w:spacing w:line="390" w:lineRule="atLeast"/>
        <w:jc w:val="center"/>
        <w:rPr>
          <w:rFonts w:asciiTheme="minorHAnsi" w:hAnsiTheme="minorHAnsi"/>
          <w:color w:val="000000"/>
        </w:rPr>
      </w:pPr>
      <w:r w:rsidRPr="00B36015">
        <w:rPr>
          <w:rFonts w:asciiTheme="minorHAnsi" w:hAnsiTheme="minorHAnsi"/>
          <w:i/>
          <w:color w:val="000000"/>
        </w:rPr>
        <w:t>*</w:t>
      </w:r>
      <w:r w:rsidR="00F109FE" w:rsidRPr="00B36015">
        <w:rPr>
          <w:rFonts w:asciiTheme="minorHAnsi" w:hAnsiTheme="minorHAnsi"/>
          <w:i/>
          <w:color w:val="000000"/>
        </w:rPr>
        <w:t>C</w:t>
      </w:r>
      <w:r w:rsidR="00B31735" w:rsidRPr="00B36015">
        <w:rPr>
          <w:rFonts w:asciiTheme="minorHAnsi" w:hAnsiTheme="minorHAnsi"/>
          <w:i/>
          <w:color w:val="000000"/>
        </w:rPr>
        <w:t xml:space="preserve">onsider initiating antibiotics in </w:t>
      </w:r>
      <w:r w:rsidR="00E82D1D" w:rsidRPr="00B36015">
        <w:rPr>
          <w:rFonts w:asciiTheme="minorHAnsi" w:hAnsiTheme="minorHAnsi"/>
          <w:b/>
          <w:i/>
          <w:color w:val="000000"/>
          <w:u w:val="single"/>
        </w:rPr>
        <w:t>ALL</w:t>
      </w:r>
      <w:r w:rsidR="00B31735" w:rsidRPr="00B36015">
        <w:rPr>
          <w:rFonts w:asciiTheme="minorHAnsi" w:hAnsiTheme="minorHAnsi"/>
          <w:i/>
          <w:color w:val="000000"/>
        </w:rPr>
        <w:t xml:space="preserve"> </w:t>
      </w:r>
      <w:r w:rsidR="00F109FE" w:rsidRPr="00B36015">
        <w:rPr>
          <w:rFonts w:asciiTheme="minorHAnsi" w:hAnsiTheme="minorHAnsi"/>
          <w:i/>
          <w:color w:val="000000"/>
        </w:rPr>
        <w:t xml:space="preserve">clinically </w:t>
      </w:r>
      <w:r w:rsidR="00B31735" w:rsidRPr="00B36015">
        <w:rPr>
          <w:rFonts w:asciiTheme="minorHAnsi" w:hAnsiTheme="minorHAnsi"/>
          <w:i/>
          <w:color w:val="000000"/>
        </w:rPr>
        <w:t>unstable patients</w:t>
      </w:r>
      <w:r w:rsidR="00B31735" w:rsidRPr="00B36015">
        <w:rPr>
          <w:rFonts w:asciiTheme="minorHAnsi" w:hAnsiTheme="minorHAnsi"/>
          <w:color w:val="000000"/>
        </w:rPr>
        <w:t>.</w:t>
      </w:r>
    </w:p>
    <w:p w:rsidR="00ED21F6" w:rsidRPr="00B36015" w:rsidRDefault="00E01999" w:rsidP="00B36015">
      <w:pPr>
        <w:pStyle w:val="NormalWeb"/>
        <w:shd w:val="clear" w:color="auto" w:fill="FFFFFF"/>
        <w:spacing w:line="390" w:lineRule="atLeast"/>
        <w:jc w:val="center"/>
        <w:rPr>
          <w:rFonts w:asciiTheme="minorHAnsi" w:hAnsiTheme="minorHAnsi"/>
          <w:color w:val="000000"/>
        </w:rPr>
      </w:pPr>
      <w:r w:rsidRPr="00B36015">
        <w:rPr>
          <w:rFonts w:asciiTheme="minorHAnsi" w:hAnsiTheme="minorHAnsi"/>
          <w:b/>
          <w:u w:val="single"/>
        </w:rPr>
        <w:t>Key Principles for</w:t>
      </w:r>
      <w:r w:rsidR="00ED21F6" w:rsidRPr="00B36015">
        <w:rPr>
          <w:rFonts w:asciiTheme="minorHAnsi" w:hAnsiTheme="minorHAnsi"/>
          <w:b/>
          <w:u w:val="single"/>
        </w:rPr>
        <w:t xml:space="preserve"> </w:t>
      </w:r>
      <w:r w:rsidRPr="00B36015">
        <w:rPr>
          <w:rFonts w:asciiTheme="minorHAnsi" w:hAnsiTheme="minorHAnsi"/>
          <w:b/>
          <w:u w:val="single"/>
        </w:rPr>
        <w:t>Interpretation</w:t>
      </w:r>
      <w:r w:rsidR="00ED21F6" w:rsidRPr="00B36015">
        <w:rPr>
          <w:rFonts w:asciiTheme="minorHAnsi" w:hAnsiTheme="minorHAnsi"/>
          <w:b/>
          <w:u w:val="single"/>
        </w:rPr>
        <w:t xml:space="preserve"> </w:t>
      </w:r>
      <w:r w:rsidRPr="00B36015">
        <w:rPr>
          <w:rFonts w:asciiTheme="minorHAnsi" w:hAnsiTheme="minorHAnsi"/>
          <w:b/>
          <w:u w:val="single"/>
        </w:rPr>
        <w:t xml:space="preserve">of </w:t>
      </w:r>
      <w:r w:rsidR="00FE3C9D" w:rsidRPr="00B36015">
        <w:rPr>
          <w:rFonts w:asciiTheme="minorHAnsi" w:hAnsiTheme="minorHAnsi"/>
          <w:b/>
          <w:u w:val="single"/>
        </w:rPr>
        <w:t xml:space="preserve">PCT Test </w:t>
      </w:r>
      <w:r w:rsidR="00ED21F6" w:rsidRPr="00B36015">
        <w:rPr>
          <w:rFonts w:asciiTheme="minorHAnsi" w:hAnsiTheme="minorHAnsi"/>
          <w:b/>
          <w:u w:val="single"/>
        </w:rPr>
        <w:t>Results</w:t>
      </w:r>
    </w:p>
    <w:p w:rsidR="00ED21F6" w:rsidRPr="00B36015" w:rsidRDefault="00B31735" w:rsidP="00E01999">
      <w:pPr>
        <w:rPr>
          <w:rFonts w:cs="Times New Roman"/>
          <w:b/>
          <w:sz w:val="24"/>
          <w:szCs w:val="24"/>
          <w:u w:val="single"/>
        </w:rPr>
      </w:pPr>
      <w:r w:rsidRPr="00B36015">
        <w:rPr>
          <w:rStyle w:val="Strong"/>
          <w:color w:val="000000"/>
          <w:sz w:val="24"/>
          <w:szCs w:val="24"/>
        </w:rPr>
        <w:t>Interpret in the clinical context of the patient.</w:t>
      </w:r>
      <w:r w:rsidR="00F109FE" w:rsidRPr="00B36015">
        <w:rPr>
          <w:color w:val="000000"/>
          <w:sz w:val="24"/>
          <w:szCs w:val="24"/>
        </w:rPr>
        <w:t>  P</w:t>
      </w:r>
      <w:r w:rsidRPr="00B36015">
        <w:rPr>
          <w:color w:val="000000"/>
          <w:sz w:val="24"/>
          <w:szCs w:val="24"/>
        </w:rPr>
        <w:t xml:space="preserve">atients with septic shock should not have antibiotics withheld based </w:t>
      </w:r>
      <w:r w:rsidR="00B260A8" w:rsidRPr="00B36015">
        <w:rPr>
          <w:color w:val="000000"/>
          <w:sz w:val="24"/>
          <w:szCs w:val="24"/>
        </w:rPr>
        <w:t xml:space="preserve">solely </w:t>
      </w:r>
      <w:r w:rsidR="00FE3C9D" w:rsidRPr="00B36015">
        <w:rPr>
          <w:color w:val="000000"/>
          <w:sz w:val="24"/>
          <w:szCs w:val="24"/>
        </w:rPr>
        <w:t xml:space="preserve">on a </w:t>
      </w:r>
      <w:r w:rsidRPr="00B36015">
        <w:rPr>
          <w:color w:val="000000"/>
          <w:sz w:val="24"/>
          <w:szCs w:val="24"/>
        </w:rPr>
        <w:t xml:space="preserve">normal PCT. </w:t>
      </w:r>
    </w:p>
    <w:p w:rsidR="00ED21F6" w:rsidRPr="002D0E11" w:rsidRDefault="00B31735" w:rsidP="00E01999">
      <w:pPr>
        <w:rPr>
          <w:rFonts w:cs="Times New Roman"/>
          <w:sz w:val="24"/>
          <w:szCs w:val="24"/>
        </w:rPr>
      </w:pPr>
      <w:r w:rsidRPr="00B36015">
        <w:rPr>
          <w:rStyle w:val="Strong"/>
          <w:color w:val="000000"/>
          <w:sz w:val="24"/>
          <w:szCs w:val="24"/>
        </w:rPr>
        <w:t>Serial measurements are pr</w:t>
      </w:r>
      <w:r w:rsidR="00F109FE" w:rsidRPr="00B36015">
        <w:rPr>
          <w:rStyle w:val="Strong"/>
          <w:color w:val="000000"/>
          <w:sz w:val="24"/>
          <w:szCs w:val="24"/>
        </w:rPr>
        <w:t xml:space="preserve">eferred and provide more useful </w:t>
      </w:r>
      <w:r w:rsidRPr="00B36015">
        <w:rPr>
          <w:rStyle w:val="Strong"/>
          <w:color w:val="000000"/>
          <w:sz w:val="24"/>
          <w:szCs w:val="24"/>
        </w:rPr>
        <w:t>information. </w:t>
      </w:r>
      <w:r w:rsidR="00F109FE" w:rsidRPr="00B36015">
        <w:rPr>
          <w:rStyle w:val="Strong"/>
          <w:color w:val="000000"/>
          <w:sz w:val="24"/>
          <w:szCs w:val="24"/>
        </w:rPr>
        <w:t xml:space="preserve"> </w:t>
      </w:r>
      <w:r w:rsidR="00F109FE" w:rsidRPr="00B36015">
        <w:rPr>
          <w:color w:val="000000"/>
          <w:sz w:val="24"/>
          <w:szCs w:val="24"/>
        </w:rPr>
        <w:t>P</w:t>
      </w:r>
      <w:r w:rsidRPr="00B36015">
        <w:rPr>
          <w:color w:val="000000"/>
          <w:sz w:val="24"/>
          <w:szCs w:val="24"/>
        </w:rPr>
        <w:t>atients may have a normal PCT value</w:t>
      </w:r>
      <w:r w:rsidR="00FE3C9D" w:rsidRPr="00B36015">
        <w:rPr>
          <w:color w:val="000000"/>
          <w:sz w:val="24"/>
          <w:szCs w:val="24"/>
        </w:rPr>
        <w:t xml:space="preserve"> very early in the development of a bacterial infection</w:t>
      </w:r>
      <w:r w:rsidRPr="00B36015">
        <w:rPr>
          <w:color w:val="000000"/>
          <w:sz w:val="24"/>
          <w:szCs w:val="24"/>
        </w:rPr>
        <w:t xml:space="preserve">. Patients who have persistently normal PCT levels are unlikely to have bacterial infection. </w:t>
      </w:r>
      <w:r w:rsidR="00827E75" w:rsidRPr="00B36015">
        <w:rPr>
          <w:color w:val="000000"/>
          <w:sz w:val="24"/>
          <w:szCs w:val="24"/>
        </w:rPr>
        <w:t>PCT levels should</w:t>
      </w:r>
      <w:r w:rsidR="00827E75" w:rsidRPr="00B36015">
        <w:rPr>
          <w:b/>
          <w:color w:val="000000"/>
          <w:sz w:val="24"/>
          <w:szCs w:val="24"/>
          <w:u w:val="single"/>
        </w:rPr>
        <w:t xml:space="preserve"> </w:t>
      </w:r>
      <w:r w:rsidR="00540775" w:rsidRPr="00B36015">
        <w:rPr>
          <w:b/>
          <w:color w:val="000000"/>
          <w:sz w:val="24"/>
          <w:szCs w:val="24"/>
          <w:u w:val="single"/>
        </w:rPr>
        <w:t>not be drawn</w:t>
      </w:r>
      <w:r w:rsidR="00B36015" w:rsidRPr="00B36015">
        <w:rPr>
          <w:b/>
          <w:color w:val="000000"/>
          <w:sz w:val="24"/>
          <w:szCs w:val="24"/>
          <w:u w:val="single"/>
        </w:rPr>
        <w:t xml:space="preserve"> more often than every </w:t>
      </w:r>
      <w:r w:rsidR="00827E75" w:rsidRPr="00B36015">
        <w:rPr>
          <w:b/>
          <w:color w:val="000000"/>
          <w:sz w:val="24"/>
          <w:szCs w:val="24"/>
          <w:u w:val="single"/>
        </w:rPr>
        <w:t>3 days.</w:t>
      </w:r>
      <w:r w:rsidR="002D0E11">
        <w:rPr>
          <w:color w:val="000000"/>
          <w:sz w:val="24"/>
          <w:szCs w:val="24"/>
        </w:rPr>
        <w:t xml:space="preserve"> For patients with elevated measurements that decrease rapidly (&gt;80%) on repeat measurements antibiotic cessation should be considered in absence of an identified bacterial infection.</w:t>
      </w:r>
    </w:p>
    <w:p w:rsidR="00ED21F6" w:rsidRPr="00B36015" w:rsidRDefault="00B31735" w:rsidP="00E01999">
      <w:pPr>
        <w:spacing w:after="120"/>
        <w:rPr>
          <w:rFonts w:cs="Times New Roman"/>
          <w:b/>
          <w:sz w:val="24"/>
          <w:szCs w:val="24"/>
          <w:u w:val="single"/>
        </w:rPr>
      </w:pPr>
      <w:r w:rsidRPr="00B36015">
        <w:rPr>
          <w:rStyle w:val="Strong"/>
          <w:color w:val="000000"/>
          <w:sz w:val="24"/>
          <w:szCs w:val="24"/>
        </w:rPr>
        <w:t>Consid</w:t>
      </w:r>
      <w:r w:rsidR="00F109FE" w:rsidRPr="00B36015">
        <w:rPr>
          <w:rStyle w:val="Strong"/>
          <w:color w:val="000000"/>
          <w:sz w:val="24"/>
          <w:szCs w:val="24"/>
        </w:rPr>
        <w:t xml:space="preserve">er the dynamics of the disease.  </w:t>
      </w:r>
      <w:r w:rsidR="00F109FE" w:rsidRPr="00B36015">
        <w:rPr>
          <w:rStyle w:val="Strong"/>
          <w:b w:val="0"/>
          <w:color w:val="000000"/>
          <w:sz w:val="24"/>
          <w:szCs w:val="24"/>
        </w:rPr>
        <w:t>P</w:t>
      </w:r>
      <w:r w:rsidRPr="00B36015">
        <w:rPr>
          <w:color w:val="000000"/>
          <w:sz w:val="24"/>
          <w:szCs w:val="24"/>
        </w:rPr>
        <w:t>atients with severe trauma without infection should have PCT level</w:t>
      </w:r>
      <w:r w:rsidR="00F109FE" w:rsidRPr="00B36015">
        <w:rPr>
          <w:color w:val="000000"/>
          <w:sz w:val="24"/>
          <w:szCs w:val="24"/>
        </w:rPr>
        <w:t>s which steadily decline. P</w:t>
      </w:r>
      <w:r w:rsidRPr="00B36015">
        <w:rPr>
          <w:color w:val="000000"/>
          <w:sz w:val="24"/>
          <w:szCs w:val="24"/>
        </w:rPr>
        <w:t xml:space="preserve">atients with rising PCT </w:t>
      </w:r>
      <w:r w:rsidR="00783418" w:rsidRPr="00B36015">
        <w:rPr>
          <w:color w:val="000000"/>
          <w:sz w:val="24"/>
          <w:szCs w:val="24"/>
        </w:rPr>
        <w:t>levels suggest</w:t>
      </w:r>
      <w:r w:rsidRPr="00B36015">
        <w:rPr>
          <w:color w:val="000000"/>
          <w:sz w:val="24"/>
          <w:szCs w:val="24"/>
        </w:rPr>
        <w:t xml:space="preserve"> a lack of </w:t>
      </w:r>
      <w:r w:rsidR="00F109FE" w:rsidRPr="00B36015">
        <w:rPr>
          <w:color w:val="000000"/>
          <w:sz w:val="24"/>
          <w:szCs w:val="24"/>
        </w:rPr>
        <w:t xml:space="preserve">control of </w:t>
      </w:r>
      <w:r w:rsidR="00FE3C9D" w:rsidRPr="00B36015">
        <w:rPr>
          <w:color w:val="000000"/>
          <w:sz w:val="24"/>
          <w:szCs w:val="24"/>
        </w:rPr>
        <w:t>an</w:t>
      </w:r>
      <w:r w:rsidR="00F109FE" w:rsidRPr="00B36015">
        <w:rPr>
          <w:color w:val="000000"/>
          <w:sz w:val="24"/>
          <w:szCs w:val="24"/>
        </w:rPr>
        <w:t xml:space="preserve"> infection. </w:t>
      </w:r>
      <w:r w:rsidR="00FE3C9D" w:rsidRPr="00B36015">
        <w:rPr>
          <w:color w:val="000000"/>
          <w:sz w:val="24"/>
          <w:szCs w:val="24"/>
        </w:rPr>
        <w:t xml:space="preserve">PCT levels will generally take longer to normalize </w:t>
      </w:r>
      <w:r w:rsidR="00B260A8" w:rsidRPr="00B36015">
        <w:rPr>
          <w:color w:val="000000"/>
          <w:sz w:val="24"/>
          <w:szCs w:val="24"/>
        </w:rPr>
        <w:t>in p</w:t>
      </w:r>
      <w:r w:rsidRPr="00B36015">
        <w:rPr>
          <w:color w:val="000000"/>
          <w:sz w:val="24"/>
          <w:szCs w:val="24"/>
        </w:rPr>
        <w:t>atients with severe infections (</w:t>
      </w:r>
      <w:r w:rsidR="00FE3C9D" w:rsidRPr="00B36015">
        <w:rPr>
          <w:color w:val="000000"/>
          <w:sz w:val="24"/>
          <w:szCs w:val="24"/>
        </w:rPr>
        <w:t xml:space="preserve">e.g., </w:t>
      </w:r>
      <w:proofErr w:type="spellStart"/>
      <w:r w:rsidRPr="00B36015">
        <w:rPr>
          <w:color w:val="000000"/>
          <w:sz w:val="24"/>
          <w:szCs w:val="24"/>
        </w:rPr>
        <w:t>bacteremic</w:t>
      </w:r>
      <w:proofErr w:type="spellEnd"/>
      <w:r w:rsidRPr="00B36015">
        <w:rPr>
          <w:color w:val="000000"/>
          <w:sz w:val="24"/>
          <w:szCs w:val="24"/>
        </w:rPr>
        <w:t xml:space="preserve"> pneumonia).</w:t>
      </w:r>
    </w:p>
    <w:p w:rsidR="005776B8" w:rsidRPr="00B36015" w:rsidRDefault="00B31735" w:rsidP="00E01999">
      <w:pPr>
        <w:rPr>
          <w:color w:val="000000"/>
          <w:sz w:val="24"/>
          <w:szCs w:val="24"/>
        </w:rPr>
      </w:pPr>
      <w:r w:rsidRPr="00B36015">
        <w:rPr>
          <w:rStyle w:val="Strong"/>
          <w:color w:val="000000"/>
          <w:sz w:val="24"/>
          <w:szCs w:val="24"/>
        </w:rPr>
        <w:t>Be aware of conditions which may affect PCT levels. </w:t>
      </w:r>
      <w:r w:rsidR="00783418" w:rsidRPr="00B36015">
        <w:rPr>
          <w:rStyle w:val="Strong"/>
          <w:color w:val="000000"/>
          <w:sz w:val="24"/>
          <w:szCs w:val="24"/>
        </w:rPr>
        <w:t xml:space="preserve"> </w:t>
      </w:r>
      <w:r w:rsidR="00783418" w:rsidRPr="00B36015">
        <w:rPr>
          <w:rStyle w:val="Strong"/>
          <w:b w:val="0"/>
          <w:color w:val="000000"/>
          <w:sz w:val="24"/>
          <w:szCs w:val="24"/>
        </w:rPr>
        <w:t>P</w:t>
      </w:r>
      <w:r w:rsidRPr="00B36015">
        <w:rPr>
          <w:color w:val="000000"/>
          <w:sz w:val="24"/>
          <w:szCs w:val="24"/>
        </w:rPr>
        <w:t>atient</w:t>
      </w:r>
      <w:r w:rsidR="00783418" w:rsidRPr="00B36015">
        <w:rPr>
          <w:color w:val="000000"/>
          <w:sz w:val="24"/>
          <w:szCs w:val="24"/>
        </w:rPr>
        <w:t>s with peritonitis who return to the OR for a washout are</w:t>
      </w:r>
      <w:r w:rsidRPr="00B36015">
        <w:rPr>
          <w:color w:val="000000"/>
          <w:sz w:val="24"/>
          <w:szCs w:val="24"/>
        </w:rPr>
        <w:t xml:space="preserve"> expected to have a transitory increase in PCT value post-operatively but should continue to trend down if the infection is adequately controlled.</w:t>
      </w:r>
    </w:p>
    <w:p w:rsidR="00CF2ED0" w:rsidRPr="00B36015" w:rsidRDefault="00235391" w:rsidP="00CF2ED0">
      <w:pPr>
        <w:rPr>
          <w:color w:val="000000"/>
          <w:sz w:val="24"/>
          <w:szCs w:val="24"/>
        </w:rPr>
      </w:pPr>
      <w:r w:rsidRPr="00B36015">
        <w:rPr>
          <w:b/>
          <w:color w:val="000000"/>
          <w:sz w:val="24"/>
          <w:szCs w:val="24"/>
        </w:rPr>
        <w:t>There are patient populations in which PCT results are less reliable.</w:t>
      </w:r>
      <w:r w:rsidRPr="00B36015">
        <w:rPr>
          <w:color w:val="000000"/>
          <w:sz w:val="24"/>
          <w:szCs w:val="24"/>
        </w:rPr>
        <w:t xml:space="preserve">  </w:t>
      </w:r>
      <w:r w:rsidR="002D0E11">
        <w:rPr>
          <w:color w:val="000000"/>
          <w:sz w:val="24"/>
          <w:szCs w:val="24"/>
        </w:rPr>
        <w:t>These include: p</w:t>
      </w:r>
      <w:r w:rsidRPr="00B36015">
        <w:rPr>
          <w:color w:val="000000"/>
          <w:sz w:val="24"/>
          <w:szCs w:val="24"/>
        </w:rPr>
        <w:t>regnancy, severely immunocompromised patients (chemotherapy, radiation, immunosuppressive therapy other than steroids), severe</w:t>
      </w:r>
      <w:r w:rsidR="00B260A8" w:rsidRPr="00B36015">
        <w:rPr>
          <w:color w:val="000000"/>
          <w:sz w:val="24"/>
          <w:szCs w:val="24"/>
        </w:rPr>
        <w:t xml:space="preserve"> </w:t>
      </w:r>
      <w:r w:rsidRPr="00B36015">
        <w:rPr>
          <w:color w:val="000000"/>
          <w:sz w:val="24"/>
          <w:szCs w:val="24"/>
        </w:rPr>
        <w:t>neutropeni</w:t>
      </w:r>
      <w:r w:rsidR="00B260A8" w:rsidRPr="00B36015">
        <w:rPr>
          <w:color w:val="000000"/>
          <w:sz w:val="24"/>
          <w:szCs w:val="24"/>
        </w:rPr>
        <w:t>a</w:t>
      </w:r>
      <w:r w:rsidRPr="00B36015">
        <w:rPr>
          <w:color w:val="000000"/>
          <w:sz w:val="24"/>
          <w:szCs w:val="24"/>
        </w:rPr>
        <w:t>, chronic infections (endocarditis, osteomyelitis), massive stress, severe left heart failure, resuscitated cardiac arrest, continuous renal replacement therapy</w:t>
      </w:r>
      <w:r w:rsidR="002D0E11">
        <w:rPr>
          <w:color w:val="000000"/>
          <w:sz w:val="24"/>
          <w:szCs w:val="24"/>
        </w:rPr>
        <w:t>.</w:t>
      </w:r>
    </w:p>
    <w:p w:rsidR="00CF2ED0" w:rsidRDefault="00CF2ED0" w:rsidP="00CF2ED0">
      <w:pPr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</w:pPr>
      <w:r w:rsidRPr="00CF2ED0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begin"/>
      </w:r>
      <w:r w:rsidRPr="00CF2ED0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instrText xml:space="preserve"> INCLUDEPICTURE "cid:image005.gif@01D30785.C7E2CA10" \* MERGEFORMATINET </w:instrText>
      </w:r>
      <w:r w:rsidRPr="00CF2ED0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separate"/>
      </w:r>
      <w:r w:rsidR="008A73A3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begin"/>
      </w:r>
      <w:r w:rsidR="008A73A3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instrText xml:space="preserve"> INCLUDEPICTURE  "cid:image005.gif@01D30785.C7E2CA10" \* MERGEFORMATINET </w:instrText>
      </w:r>
      <w:r w:rsidR="008A73A3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separate"/>
      </w:r>
      <w:r w:rsidR="00E52341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begin"/>
      </w:r>
      <w:r w:rsidR="00E52341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instrText xml:space="preserve"> INCLUDEPICTURE  "cid:image005.gif@01D30785.C7E2CA10" \* MERGEFORMATINET </w:instrText>
      </w:r>
      <w:r w:rsidR="00E52341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separate"/>
      </w:r>
      <w:r w:rsidR="00D1616F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begin"/>
      </w:r>
      <w:r w:rsidR="00D1616F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instrText xml:space="preserve"> INCLUDEPICTURE  "cid:image005.gif@01D30785.C7E2CA10" \* MERGEFORMATINET </w:instrText>
      </w:r>
      <w:r w:rsidR="00D1616F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separate"/>
      </w:r>
      <w:r w:rsidR="007D502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begin"/>
      </w:r>
      <w:r w:rsidR="007D502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instrText xml:space="preserve"> </w:instrText>
      </w:r>
      <w:r w:rsidR="007D502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instrText>INCLUDEPICTURE  "cid:image005.gif@01</w:instrText>
      </w:r>
      <w:r w:rsidR="007D502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instrText>D30785.C7E2CA10" \* MERGEFORMATINET</w:instrText>
      </w:r>
      <w:r w:rsidR="007D502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instrText xml:space="preserve"> </w:instrText>
      </w:r>
      <w:r w:rsidR="007D502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separate"/>
      </w:r>
      <w:r w:rsidR="007D502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i1025" type="#_x0000_t75" alt="PCT-Algorithms-2" style="width:532.5pt;height:262.35pt">
            <v:imagedata r:id="rId7" r:href="rId8"/>
          </v:shape>
        </w:pict>
      </w:r>
      <w:r w:rsidR="007D502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end"/>
      </w:r>
      <w:r w:rsidR="00D1616F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end"/>
      </w:r>
      <w:r w:rsidR="00E52341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end"/>
      </w:r>
      <w:r w:rsidR="008A73A3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end"/>
      </w:r>
      <w:r w:rsidRPr="00CF2ED0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fldChar w:fldCharType="end"/>
      </w:r>
    </w:p>
    <w:p w:rsidR="003F085F" w:rsidRDefault="00CF2ED0" w:rsidP="003F085F">
      <w:pPr>
        <w:spacing w:after="0" w:line="240" w:lineRule="auto"/>
        <w:rPr>
          <w:rFonts w:ascii="Roboto" w:eastAsia="Times New Roman" w:hAnsi="Roboto" w:cs="Times New Roman"/>
          <w:b/>
          <w:bCs/>
          <w:sz w:val="27"/>
          <w:szCs w:val="27"/>
        </w:rPr>
      </w:pPr>
      <w:r w:rsidRPr="00CF2ED0">
        <w:rPr>
          <w:rFonts w:ascii="Roboto" w:eastAsia="Times New Roman" w:hAnsi="Roboto" w:cs="Times New Roman"/>
          <w:b/>
          <w:bCs/>
          <w:sz w:val="27"/>
          <w:szCs w:val="27"/>
        </w:rPr>
        <w:fldChar w:fldCharType="begin"/>
      </w:r>
      <w:r w:rsidRPr="00CF2ED0">
        <w:rPr>
          <w:rFonts w:ascii="Roboto" w:eastAsia="Times New Roman" w:hAnsi="Roboto" w:cs="Times New Roman"/>
          <w:b/>
          <w:bCs/>
          <w:sz w:val="27"/>
          <w:szCs w:val="27"/>
        </w:rPr>
        <w:instrText xml:space="preserve"> INCLUDEPICTURE "cid:image007.gif@01D30785.C7E2CA10" \* MERGEFORMATINET </w:instrText>
      </w:r>
      <w:r w:rsidRPr="00CF2ED0">
        <w:rPr>
          <w:rFonts w:ascii="Roboto" w:eastAsia="Times New Roman" w:hAnsi="Roboto" w:cs="Times New Roman"/>
          <w:b/>
          <w:bCs/>
          <w:sz w:val="27"/>
          <w:szCs w:val="27"/>
        </w:rPr>
        <w:fldChar w:fldCharType="separate"/>
      </w:r>
      <w:r w:rsidR="008A73A3">
        <w:rPr>
          <w:rFonts w:ascii="Roboto" w:eastAsia="Times New Roman" w:hAnsi="Roboto" w:cs="Times New Roman"/>
          <w:b/>
          <w:bCs/>
          <w:sz w:val="27"/>
          <w:szCs w:val="27"/>
        </w:rPr>
        <w:fldChar w:fldCharType="begin"/>
      </w:r>
      <w:r w:rsidR="008A73A3">
        <w:rPr>
          <w:rFonts w:ascii="Roboto" w:eastAsia="Times New Roman" w:hAnsi="Roboto" w:cs="Times New Roman"/>
          <w:b/>
          <w:bCs/>
          <w:sz w:val="27"/>
          <w:szCs w:val="27"/>
        </w:rPr>
        <w:instrText xml:space="preserve"> INCLUDEPICTURE  "cid:image007.gif@01D30785.C7E2CA10" \* MERGEFORMATINET </w:instrText>
      </w:r>
      <w:r w:rsidR="008A73A3">
        <w:rPr>
          <w:rFonts w:ascii="Roboto" w:eastAsia="Times New Roman" w:hAnsi="Roboto" w:cs="Times New Roman"/>
          <w:b/>
          <w:bCs/>
          <w:sz w:val="27"/>
          <w:szCs w:val="27"/>
        </w:rPr>
        <w:fldChar w:fldCharType="separate"/>
      </w:r>
      <w:r w:rsidR="00E52341">
        <w:rPr>
          <w:rFonts w:ascii="Roboto" w:eastAsia="Times New Roman" w:hAnsi="Roboto" w:cs="Times New Roman"/>
          <w:b/>
          <w:bCs/>
          <w:sz w:val="27"/>
          <w:szCs w:val="27"/>
        </w:rPr>
        <w:fldChar w:fldCharType="begin"/>
      </w:r>
      <w:r w:rsidR="00E52341">
        <w:rPr>
          <w:rFonts w:ascii="Roboto" w:eastAsia="Times New Roman" w:hAnsi="Roboto" w:cs="Times New Roman"/>
          <w:b/>
          <w:bCs/>
          <w:sz w:val="27"/>
          <w:szCs w:val="27"/>
        </w:rPr>
        <w:instrText xml:space="preserve"> INCLUDEPICTURE  "cid:image007.gif@01D30785.C7E2CA10" \* MERGEFORMATINET </w:instrText>
      </w:r>
      <w:r w:rsidR="00E52341">
        <w:rPr>
          <w:rFonts w:ascii="Roboto" w:eastAsia="Times New Roman" w:hAnsi="Roboto" w:cs="Times New Roman"/>
          <w:b/>
          <w:bCs/>
          <w:sz w:val="27"/>
          <w:szCs w:val="27"/>
        </w:rPr>
        <w:fldChar w:fldCharType="separate"/>
      </w:r>
      <w:r w:rsidR="00D1616F">
        <w:rPr>
          <w:rFonts w:ascii="Roboto" w:eastAsia="Times New Roman" w:hAnsi="Roboto" w:cs="Times New Roman"/>
          <w:b/>
          <w:bCs/>
          <w:sz w:val="27"/>
          <w:szCs w:val="27"/>
        </w:rPr>
        <w:fldChar w:fldCharType="begin"/>
      </w:r>
      <w:r w:rsidR="00D1616F">
        <w:rPr>
          <w:rFonts w:ascii="Roboto" w:eastAsia="Times New Roman" w:hAnsi="Roboto" w:cs="Times New Roman"/>
          <w:b/>
          <w:bCs/>
          <w:sz w:val="27"/>
          <w:szCs w:val="27"/>
        </w:rPr>
        <w:instrText xml:space="preserve"> INCLUDEPICTURE  "cid:image007.gif@01D30785.C7E2CA10" \* MERGEFORMATINET </w:instrText>
      </w:r>
      <w:r w:rsidR="00D1616F">
        <w:rPr>
          <w:rFonts w:ascii="Roboto" w:eastAsia="Times New Roman" w:hAnsi="Roboto" w:cs="Times New Roman"/>
          <w:b/>
          <w:bCs/>
          <w:sz w:val="27"/>
          <w:szCs w:val="27"/>
        </w:rPr>
        <w:fldChar w:fldCharType="separate"/>
      </w:r>
      <w:r w:rsidR="007D502C">
        <w:rPr>
          <w:rFonts w:ascii="Roboto" w:eastAsia="Times New Roman" w:hAnsi="Roboto" w:cs="Times New Roman"/>
          <w:b/>
          <w:bCs/>
          <w:sz w:val="27"/>
          <w:szCs w:val="27"/>
        </w:rPr>
        <w:fldChar w:fldCharType="begin"/>
      </w:r>
      <w:r w:rsidR="007D502C">
        <w:rPr>
          <w:rFonts w:ascii="Roboto" w:eastAsia="Times New Roman" w:hAnsi="Roboto" w:cs="Times New Roman"/>
          <w:b/>
          <w:bCs/>
          <w:sz w:val="27"/>
          <w:szCs w:val="27"/>
        </w:rPr>
        <w:instrText xml:space="preserve"> </w:instrText>
      </w:r>
      <w:r w:rsidR="007D502C">
        <w:rPr>
          <w:rFonts w:ascii="Roboto" w:eastAsia="Times New Roman" w:hAnsi="Roboto" w:cs="Times New Roman"/>
          <w:b/>
          <w:bCs/>
          <w:sz w:val="27"/>
          <w:szCs w:val="27"/>
        </w:rPr>
        <w:instrText>INCLUDEPICTURE  "cid:image007.gif@01D30785.C7E2CA10" \* MERGEFORMATINET</w:instrText>
      </w:r>
      <w:r w:rsidR="007D502C">
        <w:rPr>
          <w:rFonts w:ascii="Roboto" w:eastAsia="Times New Roman" w:hAnsi="Roboto" w:cs="Times New Roman"/>
          <w:b/>
          <w:bCs/>
          <w:sz w:val="27"/>
          <w:szCs w:val="27"/>
        </w:rPr>
        <w:instrText xml:space="preserve"> </w:instrText>
      </w:r>
      <w:r w:rsidR="007D502C">
        <w:rPr>
          <w:rFonts w:ascii="Roboto" w:eastAsia="Times New Roman" w:hAnsi="Roboto" w:cs="Times New Roman"/>
          <w:b/>
          <w:bCs/>
          <w:sz w:val="27"/>
          <w:szCs w:val="27"/>
        </w:rPr>
        <w:fldChar w:fldCharType="separate"/>
      </w:r>
      <w:r w:rsidR="007D502C">
        <w:rPr>
          <w:rFonts w:ascii="Roboto" w:eastAsia="Times New Roman" w:hAnsi="Roboto" w:cs="Times New Roman"/>
          <w:b/>
          <w:bCs/>
          <w:sz w:val="27"/>
          <w:szCs w:val="27"/>
        </w:rPr>
        <w:pict>
          <v:shape id="Picture 4" o:spid="_x0000_i1026" type="#_x0000_t75" alt="PCT-Algorithms-4" style="width:523.25pt;height:301.55pt">
            <v:imagedata r:id="rId9" r:href="rId10"/>
          </v:shape>
        </w:pict>
      </w:r>
      <w:r w:rsidR="007D502C">
        <w:rPr>
          <w:rFonts w:ascii="Roboto" w:eastAsia="Times New Roman" w:hAnsi="Roboto" w:cs="Times New Roman"/>
          <w:b/>
          <w:bCs/>
          <w:sz w:val="27"/>
          <w:szCs w:val="27"/>
        </w:rPr>
        <w:fldChar w:fldCharType="end"/>
      </w:r>
      <w:r w:rsidR="00D1616F">
        <w:rPr>
          <w:rFonts w:ascii="Roboto" w:eastAsia="Times New Roman" w:hAnsi="Roboto" w:cs="Times New Roman"/>
          <w:b/>
          <w:bCs/>
          <w:sz w:val="27"/>
          <w:szCs w:val="27"/>
        </w:rPr>
        <w:fldChar w:fldCharType="end"/>
      </w:r>
      <w:r w:rsidR="00E52341">
        <w:rPr>
          <w:rFonts w:ascii="Roboto" w:eastAsia="Times New Roman" w:hAnsi="Roboto" w:cs="Times New Roman"/>
          <w:b/>
          <w:bCs/>
          <w:sz w:val="27"/>
          <w:szCs w:val="27"/>
        </w:rPr>
        <w:fldChar w:fldCharType="end"/>
      </w:r>
      <w:r w:rsidR="008A73A3">
        <w:rPr>
          <w:rFonts w:ascii="Roboto" w:eastAsia="Times New Roman" w:hAnsi="Roboto" w:cs="Times New Roman"/>
          <w:b/>
          <w:bCs/>
          <w:sz w:val="27"/>
          <w:szCs w:val="27"/>
        </w:rPr>
        <w:fldChar w:fldCharType="end"/>
      </w:r>
      <w:r w:rsidRPr="00CF2ED0">
        <w:rPr>
          <w:rFonts w:ascii="Roboto" w:eastAsia="Times New Roman" w:hAnsi="Roboto" w:cs="Times New Roman"/>
          <w:b/>
          <w:bCs/>
          <w:sz w:val="27"/>
          <w:szCs w:val="27"/>
        </w:rPr>
        <w:fldChar w:fldCharType="end"/>
      </w:r>
      <w:r w:rsidR="003F085F" w:rsidRPr="003F085F">
        <w:t>References:</w:t>
      </w:r>
    </w:p>
    <w:p w:rsidR="003F085F" w:rsidRDefault="003F085F" w:rsidP="003F085F">
      <w:pPr>
        <w:spacing w:after="0" w:line="240" w:lineRule="auto"/>
        <w:rPr>
          <w:rFonts w:ascii="Roboto" w:eastAsia="Times New Roman" w:hAnsi="Roboto" w:cs="Times New Roman"/>
          <w:b/>
          <w:bCs/>
          <w:sz w:val="27"/>
          <w:szCs w:val="27"/>
        </w:rPr>
      </w:pPr>
      <w:r w:rsidRPr="003F085F">
        <w:t>1.</w:t>
      </w:r>
      <w:r w:rsidRPr="003F085F">
        <w:rPr>
          <w:sz w:val="14"/>
          <w:szCs w:val="14"/>
        </w:rPr>
        <w:t xml:space="preserve">        </w:t>
      </w:r>
      <w:proofErr w:type="spellStart"/>
      <w:r w:rsidRPr="003F085F">
        <w:t>Procalcitonin</w:t>
      </w:r>
      <w:proofErr w:type="spellEnd"/>
      <w:r w:rsidRPr="003F085F">
        <w:t xml:space="preserve"> (PCT) Guidance. </w:t>
      </w:r>
      <w:proofErr w:type="gramStart"/>
      <w:r w:rsidRPr="003F085F">
        <w:t>Nebraska Medicine Website.</w:t>
      </w:r>
      <w:proofErr w:type="gramEnd"/>
      <w:r w:rsidRPr="003F085F">
        <w:t xml:space="preserve"> </w:t>
      </w:r>
      <w:hyperlink r:id="rId11" w:history="1">
        <w:r w:rsidRPr="003F085F">
          <w:rPr>
            <w:rStyle w:val="Hyperlink"/>
            <w:sz w:val="18"/>
            <w:szCs w:val="18"/>
          </w:rPr>
          <w:t>https://www.nebraskamed.com/for-providers/asp/procalcitonin-pct-guidance</w:t>
        </w:r>
      </w:hyperlink>
      <w:r w:rsidRPr="003F085F">
        <w:t xml:space="preserve">. </w:t>
      </w:r>
      <w:proofErr w:type="gramStart"/>
      <w:r w:rsidRPr="003F085F">
        <w:t>Last updated: September 12, 2017.</w:t>
      </w:r>
      <w:proofErr w:type="gramEnd"/>
      <w:r w:rsidRPr="003F085F">
        <w:t xml:space="preserve"> </w:t>
      </w:r>
      <w:proofErr w:type="gramStart"/>
      <w:r w:rsidRPr="003F085F">
        <w:t>Accessed October 20, 2017.</w:t>
      </w:r>
      <w:proofErr w:type="gramEnd"/>
      <w:r w:rsidRPr="003F085F">
        <w:t xml:space="preserve"> </w:t>
      </w:r>
    </w:p>
    <w:p w:rsidR="003F085F" w:rsidRPr="003F085F" w:rsidRDefault="003F085F" w:rsidP="003F085F">
      <w:pPr>
        <w:spacing w:after="0" w:line="240" w:lineRule="auto"/>
        <w:rPr>
          <w:rFonts w:ascii="Roboto" w:eastAsia="Times New Roman" w:hAnsi="Roboto" w:cs="Times New Roman"/>
          <w:b/>
          <w:bCs/>
          <w:sz w:val="27"/>
          <w:szCs w:val="27"/>
        </w:rPr>
      </w:pPr>
      <w:r w:rsidRPr="003F085F">
        <w:t>2.</w:t>
      </w:r>
      <w:r w:rsidRPr="003F085F">
        <w:rPr>
          <w:sz w:val="14"/>
          <w:szCs w:val="14"/>
        </w:rPr>
        <w:t xml:space="preserve">        </w:t>
      </w:r>
      <w:r w:rsidRPr="003F085F">
        <w:rPr>
          <w:lang w:val="en"/>
        </w:rPr>
        <w:t xml:space="preserve">Li H, et al. Meta-analysis and systematic review of </w:t>
      </w:r>
      <w:proofErr w:type="spellStart"/>
      <w:r w:rsidRPr="003F085F">
        <w:rPr>
          <w:lang w:val="en"/>
        </w:rPr>
        <w:t>procalcitonini</w:t>
      </w:r>
      <w:proofErr w:type="spellEnd"/>
      <w:r w:rsidRPr="003F085F">
        <w:rPr>
          <w:lang w:val="en"/>
        </w:rPr>
        <w:t xml:space="preserve">-guided therapy in respiratory tract infections. </w:t>
      </w:r>
      <w:proofErr w:type="spellStart"/>
      <w:proofErr w:type="gramStart"/>
      <w:r w:rsidRPr="003F085F">
        <w:rPr>
          <w:lang w:val="en"/>
        </w:rPr>
        <w:t>Antimicrob</w:t>
      </w:r>
      <w:proofErr w:type="spellEnd"/>
      <w:r w:rsidRPr="003F085F">
        <w:rPr>
          <w:lang w:val="en"/>
        </w:rPr>
        <w:t xml:space="preserve"> Agents </w:t>
      </w:r>
      <w:proofErr w:type="spellStart"/>
      <w:r w:rsidRPr="003F085F">
        <w:rPr>
          <w:lang w:val="en"/>
        </w:rPr>
        <w:t>Chemother</w:t>
      </w:r>
      <w:proofErr w:type="spellEnd"/>
      <w:r w:rsidRPr="003F085F">
        <w:rPr>
          <w:lang w:val="en"/>
        </w:rPr>
        <w:t>.</w:t>
      </w:r>
      <w:proofErr w:type="gramEnd"/>
      <w:r w:rsidRPr="003F085F">
        <w:rPr>
          <w:lang w:val="en"/>
        </w:rPr>
        <w:t xml:space="preserve"> 2011</w:t>
      </w:r>
      <w:proofErr w:type="gramStart"/>
      <w:r w:rsidRPr="003F085F">
        <w:rPr>
          <w:lang w:val="en"/>
        </w:rPr>
        <w:t>;55:5900</w:t>
      </w:r>
      <w:proofErr w:type="gramEnd"/>
      <w:r w:rsidRPr="003F085F">
        <w:rPr>
          <w:lang w:val="en"/>
        </w:rPr>
        <w:t>-6.</w:t>
      </w:r>
    </w:p>
    <w:p w:rsidR="00235391" w:rsidRPr="003F085F" w:rsidRDefault="003F085F" w:rsidP="003F085F">
      <w:pPr>
        <w:spacing w:after="0" w:line="240" w:lineRule="auto"/>
        <w:rPr>
          <w:lang w:val="en"/>
        </w:rPr>
      </w:pPr>
      <w:r w:rsidRPr="003F085F">
        <w:t>3.</w:t>
      </w:r>
      <w:r w:rsidRPr="003F085F">
        <w:rPr>
          <w:sz w:val="14"/>
          <w:szCs w:val="14"/>
        </w:rPr>
        <w:t xml:space="preserve">        </w:t>
      </w:r>
      <w:proofErr w:type="spellStart"/>
      <w:r w:rsidRPr="003F085F">
        <w:rPr>
          <w:lang w:val="en"/>
        </w:rPr>
        <w:t>Kopterides</w:t>
      </w:r>
      <w:proofErr w:type="spellEnd"/>
      <w:r w:rsidRPr="003F085F">
        <w:rPr>
          <w:lang w:val="en"/>
        </w:rPr>
        <w:t xml:space="preserve"> P, et al. </w:t>
      </w:r>
      <w:proofErr w:type="spellStart"/>
      <w:r w:rsidRPr="003F085F">
        <w:rPr>
          <w:lang w:val="en"/>
        </w:rPr>
        <w:t>Procalcitonin</w:t>
      </w:r>
      <w:proofErr w:type="spellEnd"/>
      <w:r w:rsidRPr="003F085F">
        <w:rPr>
          <w:lang w:val="en"/>
        </w:rPr>
        <w:t xml:space="preserve">-guided algorithms of antibiotic therapy in the intensive care unit: a systematic review and meta-analysis of randomized controlled trials. </w:t>
      </w:r>
      <w:proofErr w:type="spellStart"/>
      <w:r w:rsidRPr="003F085F">
        <w:rPr>
          <w:lang w:val="en"/>
        </w:rPr>
        <w:t>Crit</w:t>
      </w:r>
      <w:proofErr w:type="spellEnd"/>
      <w:r w:rsidRPr="003F085F">
        <w:rPr>
          <w:lang w:val="en"/>
        </w:rPr>
        <w:t xml:space="preserve"> Care Med. 2010</w:t>
      </w:r>
      <w:proofErr w:type="gramStart"/>
      <w:r w:rsidRPr="003F085F">
        <w:rPr>
          <w:lang w:val="en"/>
        </w:rPr>
        <w:t>;38</w:t>
      </w:r>
      <w:r w:rsidRPr="003F085F">
        <w:rPr>
          <w:lang w:val="en"/>
        </w:rPr>
        <w:t>:2229</w:t>
      </w:r>
      <w:proofErr w:type="gramEnd"/>
      <w:r w:rsidRPr="003F085F">
        <w:rPr>
          <w:lang w:val="en"/>
        </w:rPr>
        <w:t>-4</w:t>
      </w:r>
    </w:p>
    <w:p w:rsidR="003F085F" w:rsidRPr="003F085F" w:rsidRDefault="003F085F" w:rsidP="003F085F">
      <w:pPr>
        <w:spacing w:after="0" w:line="240" w:lineRule="auto"/>
      </w:pPr>
      <w:r w:rsidRPr="003F085F">
        <w:rPr>
          <w:lang w:val="en"/>
        </w:rPr>
        <w:t xml:space="preserve">Prepared by Megan Mitchell, </w:t>
      </w:r>
      <w:proofErr w:type="spellStart"/>
      <w:r w:rsidRPr="003F085F">
        <w:rPr>
          <w:lang w:val="en"/>
        </w:rPr>
        <w:t>PharmD</w:t>
      </w:r>
      <w:proofErr w:type="spellEnd"/>
    </w:p>
    <w:sectPr w:rsidR="003F085F" w:rsidRPr="003F085F" w:rsidSect="00CF2E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2C" w:rsidRDefault="007D502C" w:rsidP="00ED21F6">
      <w:pPr>
        <w:spacing w:after="0" w:line="240" w:lineRule="auto"/>
      </w:pPr>
      <w:r>
        <w:separator/>
      </w:r>
    </w:p>
  </w:endnote>
  <w:endnote w:type="continuationSeparator" w:id="0">
    <w:p w:rsidR="007D502C" w:rsidRDefault="007D502C" w:rsidP="00ED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2C" w:rsidRDefault="007D502C" w:rsidP="00ED21F6">
      <w:pPr>
        <w:spacing w:after="0" w:line="240" w:lineRule="auto"/>
      </w:pPr>
      <w:r>
        <w:separator/>
      </w:r>
    </w:p>
  </w:footnote>
  <w:footnote w:type="continuationSeparator" w:id="0">
    <w:p w:rsidR="007D502C" w:rsidRDefault="007D502C" w:rsidP="00ED2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F4"/>
    <w:rsid w:val="0004524E"/>
    <w:rsid w:val="00106240"/>
    <w:rsid w:val="00235391"/>
    <w:rsid w:val="00270939"/>
    <w:rsid w:val="002C2BF4"/>
    <w:rsid w:val="002D0E11"/>
    <w:rsid w:val="003E547E"/>
    <w:rsid w:val="003F085F"/>
    <w:rsid w:val="00417572"/>
    <w:rsid w:val="00422278"/>
    <w:rsid w:val="00540775"/>
    <w:rsid w:val="00542B64"/>
    <w:rsid w:val="005776B8"/>
    <w:rsid w:val="00634ED4"/>
    <w:rsid w:val="006B685C"/>
    <w:rsid w:val="006F0D4C"/>
    <w:rsid w:val="00783418"/>
    <w:rsid w:val="007D502C"/>
    <w:rsid w:val="00827E75"/>
    <w:rsid w:val="008A73A3"/>
    <w:rsid w:val="008B4461"/>
    <w:rsid w:val="00B260A8"/>
    <w:rsid w:val="00B31735"/>
    <w:rsid w:val="00B36015"/>
    <w:rsid w:val="00B37F7D"/>
    <w:rsid w:val="00CF2ED0"/>
    <w:rsid w:val="00D131CA"/>
    <w:rsid w:val="00D1616F"/>
    <w:rsid w:val="00E01999"/>
    <w:rsid w:val="00E52341"/>
    <w:rsid w:val="00E72E92"/>
    <w:rsid w:val="00E82D1D"/>
    <w:rsid w:val="00ED21F6"/>
    <w:rsid w:val="00EE7954"/>
    <w:rsid w:val="00F109FE"/>
    <w:rsid w:val="00F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1735"/>
    <w:rPr>
      <w:b/>
      <w:bCs/>
    </w:rPr>
  </w:style>
  <w:style w:type="paragraph" w:styleId="NormalWeb">
    <w:name w:val="Normal (Web)"/>
    <w:basedOn w:val="Normal"/>
    <w:uiPriority w:val="99"/>
    <w:unhideWhenUsed/>
    <w:rsid w:val="00B3173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1F6"/>
  </w:style>
  <w:style w:type="paragraph" w:styleId="Footer">
    <w:name w:val="footer"/>
    <w:basedOn w:val="Normal"/>
    <w:link w:val="FooterChar"/>
    <w:uiPriority w:val="99"/>
    <w:unhideWhenUsed/>
    <w:rsid w:val="00ED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1F6"/>
  </w:style>
  <w:style w:type="table" w:styleId="TableGrid">
    <w:name w:val="Table Grid"/>
    <w:basedOn w:val="TableNormal"/>
    <w:uiPriority w:val="39"/>
    <w:rsid w:val="00D1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F085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F085F"/>
    <w:pPr>
      <w:spacing w:line="252" w:lineRule="auto"/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1735"/>
    <w:rPr>
      <w:b/>
      <w:bCs/>
    </w:rPr>
  </w:style>
  <w:style w:type="paragraph" w:styleId="NormalWeb">
    <w:name w:val="Normal (Web)"/>
    <w:basedOn w:val="Normal"/>
    <w:uiPriority w:val="99"/>
    <w:unhideWhenUsed/>
    <w:rsid w:val="00B3173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1F6"/>
  </w:style>
  <w:style w:type="paragraph" w:styleId="Footer">
    <w:name w:val="footer"/>
    <w:basedOn w:val="Normal"/>
    <w:link w:val="FooterChar"/>
    <w:uiPriority w:val="99"/>
    <w:unhideWhenUsed/>
    <w:rsid w:val="00ED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1F6"/>
  </w:style>
  <w:style w:type="table" w:styleId="TableGrid">
    <w:name w:val="Table Grid"/>
    <w:basedOn w:val="TableNormal"/>
    <w:uiPriority w:val="39"/>
    <w:rsid w:val="00D1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F085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F085F"/>
    <w:pPr>
      <w:spacing w:line="252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gif@01D30785.C7E2CA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nebraskamed.com/for-providers/asp/procalcitonin-pct-guidance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cid:image007.gif@01D30785.C7E2CA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572FA184343468B01C960B09AC897" ma:contentTypeVersion="1" ma:contentTypeDescription="Create a new document." ma:contentTypeScope="" ma:versionID="8c14d46225632a21287fb43c5ecbae69">
  <xsd:schema xmlns:xsd="http://www.w3.org/2001/XMLSchema" xmlns:xs="http://www.w3.org/2001/XMLSchema" xmlns:p="http://schemas.microsoft.com/office/2006/metadata/properties" xmlns:ns2="1e2339c8-0750-49a0-9663-381401975ec9" targetNamespace="http://schemas.microsoft.com/office/2006/metadata/properties" ma:root="true" ma:fieldsID="e8e1c02ea8ef610ba487505d8139dc05" ns2:_="">
    <xsd:import namespace="1e2339c8-0750-49a0-9663-381401975ec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339c8-0750-49a0-9663-381401975e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6C220F-5082-4604-8919-02569BE7D7AF}"/>
</file>

<file path=customXml/itemProps2.xml><?xml version="1.0" encoding="utf-8"?>
<ds:datastoreItem xmlns:ds="http://schemas.openxmlformats.org/officeDocument/2006/customXml" ds:itemID="{E5CC8E1D-4CC1-4E7F-B0F4-CD43E43604EA}"/>
</file>

<file path=customXml/itemProps3.xml><?xml version="1.0" encoding="utf-8"?>
<ds:datastoreItem xmlns:ds="http://schemas.openxmlformats.org/officeDocument/2006/customXml" ds:itemID="{845FBD55-D639-4188-9658-80AF920EE6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UConn Health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Mitchell,Megan</dc:creator>
  <cp:lastModifiedBy>Kuszewski,Gillian</cp:lastModifiedBy>
  <cp:revision>5</cp:revision>
  <cp:lastPrinted>2017-10-30T16:05:00Z</cp:lastPrinted>
  <dcterms:created xsi:type="dcterms:W3CDTF">2017-10-30T15:52:00Z</dcterms:created>
  <dcterms:modified xsi:type="dcterms:W3CDTF">2017-10-30T16:05:00Z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0x0101001DC572FA184343468B01C960B09AC897</vt:lpwstr>
  </property>
</Properties>
</file>