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335" w:rsidRPr="00A9718D" w:rsidRDefault="00943335" w:rsidP="00943335">
      <w:pPr>
        <w:pStyle w:val="Heading1"/>
        <w:jc w:val="both"/>
        <w:rPr>
          <w:rFonts w:ascii="Times New Roman" w:hAnsi="Times New Roman"/>
        </w:rPr>
      </w:pPr>
      <w:bookmarkStart w:id="0" w:name="_GoBack"/>
      <w:bookmarkEnd w:id="0"/>
    </w:p>
    <w:p w:rsidR="00943335" w:rsidRPr="00A9718D" w:rsidRDefault="00EB234D" w:rsidP="00EB234D">
      <w:pPr>
        <w:pStyle w:val="Heading1"/>
        <w:jc w:val="center"/>
        <w:rPr>
          <w:rFonts w:ascii="Times New Roman" w:hAnsi="Times New Roman"/>
        </w:rPr>
      </w:pPr>
      <w:r w:rsidRPr="00EB234D">
        <w:rPr>
          <w:rFonts w:ascii="Times New Roman" w:hAnsi="Times New Roman"/>
          <w:noProof/>
        </w:rPr>
        <w:drawing>
          <wp:inline distT="0" distB="0" distL="0" distR="0">
            <wp:extent cx="2038350" cy="782874"/>
            <wp:effectExtent l="0" t="0" r="0" b="0"/>
            <wp:docPr id="1" name="Picture 1" descr="C:\Users\trutter\AppData\Local\Temp\Temp1_UConn-Health-wordmark.zip\UConn-Health-wordmark\jpgs\stacked\uconn-health-wordmark-stacked-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rutter\AppData\Local\Temp\Temp1_UConn-Health-wordmark.zip\UConn-Health-wordmark\jpgs\stacked\uconn-health-wordmark-stacked-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894" cy="801902"/>
                    </a:xfrm>
                    <a:prstGeom prst="rect">
                      <a:avLst/>
                    </a:prstGeom>
                    <a:noFill/>
                    <a:ln>
                      <a:noFill/>
                    </a:ln>
                  </pic:spPr>
                </pic:pic>
              </a:graphicData>
            </a:graphic>
          </wp:inline>
        </w:drawing>
      </w:r>
    </w:p>
    <w:p w:rsidR="00EB234D" w:rsidRDefault="00EB234D" w:rsidP="00943335">
      <w:pPr>
        <w:pStyle w:val="Title"/>
        <w:spacing w:before="0"/>
        <w:rPr>
          <w:b/>
          <w:sz w:val="24"/>
          <w:szCs w:val="24"/>
        </w:rPr>
      </w:pPr>
    </w:p>
    <w:p w:rsidR="003F12FE" w:rsidRDefault="00943335" w:rsidP="00943335">
      <w:pPr>
        <w:pStyle w:val="Title"/>
        <w:spacing w:before="0"/>
        <w:rPr>
          <w:b/>
          <w:sz w:val="24"/>
          <w:szCs w:val="24"/>
        </w:rPr>
      </w:pPr>
      <w:r>
        <w:rPr>
          <w:b/>
          <w:sz w:val="24"/>
          <w:szCs w:val="24"/>
        </w:rPr>
        <w:t>SPACE MANAGEMENT PROCEDURE MANUAL</w:t>
      </w:r>
    </w:p>
    <w:p w:rsidR="00F70C2C" w:rsidRDefault="00F70C2C" w:rsidP="00943335">
      <w:pPr>
        <w:pStyle w:val="Title"/>
        <w:spacing w:before="0"/>
        <w:rPr>
          <w:b/>
          <w:sz w:val="24"/>
          <w:szCs w:val="24"/>
        </w:rPr>
      </w:pPr>
      <w:r>
        <w:rPr>
          <w:b/>
          <w:sz w:val="24"/>
          <w:szCs w:val="24"/>
        </w:rPr>
        <w:t>July 2009</w:t>
      </w:r>
    </w:p>
    <w:p w:rsidR="00943335" w:rsidRPr="00A9718D" w:rsidRDefault="00F70C2C" w:rsidP="00943335">
      <w:pPr>
        <w:pStyle w:val="Title"/>
        <w:spacing w:before="0"/>
        <w:rPr>
          <w:b/>
          <w:sz w:val="24"/>
          <w:szCs w:val="24"/>
        </w:rPr>
      </w:pPr>
      <w:r>
        <w:rPr>
          <w:b/>
          <w:sz w:val="24"/>
          <w:szCs w:val="24"/>
        </w:rPr>
        <w:t xml:space="preserve">Revised </w:t>
      </w:r>
      <w:r w:rsidR="003F12FE">
        <w:rPr>
          <w:b/>
          <w:sz w:val="24"/>
          <w:szCs w:val="24"/>
        </w:rPr>
        <w:t>Ju</w:t>
      </w:r>
      <w:r w:rsidR="00550EC5">
        <w:rPr>
          <w:b/>
          <w:sz w:val="24"/>
          <w:szCs w:val="24"/>
        </w:rPr>
        <w:t>ly</w:t>
      </w:r>
      <w:r w:rsidR="003F12FE">
        <w:rPr>
          <w:b/>
          <w:sz w:val="24"/>
          <w:szCs w:val="24"/>
        </w:rPr>
        <w:t xml:space="preserve"> 20</w:t>
      </w:r>
      <w:r w:rsidR="000E1275">
        <w:rPr>
          <w:b/>
          <w:sz w:val="24"/>
          <w:szCs w:val="24"/>
        </w:rPr>
        <w:t>21</w:t>
      </w:r>
    </w:p>
    <w:p w:rsidR="00D06B6C" w:rsidRDefault="00D06B6C" w:rsidP="00D06B6C">
      <w:pPr>
        <w:pStyle w:val="NormalWeb"/>
        <w:ind w:left="360"/>
        <w:rPr>
          <w:b/>
        </w:rPr>
      </w:pPr>
      <w:r>
        <w:t xml:space="preserve">This Procedure Manual lists the members of the Space Management Committee </w:t>
      </w:r>
      <w:r w:rsidR="00022804">
        <w:t xml:space="preserve">(SMC) </w:t>
      </w:r>
      <w:r>
        <w:t>and describes the</w:t>
      </w:r>
      <w:r w:rsidR="008E34BB">
        <w:t xml:space="preserve"> criteria and </w:t>
      </w:r>
      <w:r>
        <w:t>factors to be considered in the analysis of new space requests.</w:t>
      </w:r>
    </w:p>
    <w:p w:rsidR="00FB3532" w:rsidRPr="00FB3532" w:rsidRDefault="009A431C" w:rsidP="00FB3532">
      <w:pPr>
        <w:pStyle w:val="NormalWeb"/>
        <w:numPr>
          <w:ilvl w:val="0"/>
          <w:numId w:val="12"/>
        </w:numPr>
        <w:rPr>
          <w:b/>
        </w:rPr>
      </w:pPr>
      <w:r>
        <w:rPr>
          <w:b/>
        </w:rPr>
        <w:t xml:space="preserve">Space Management Committee </w:t>
      </w:r>
      <w:r w:rsidR="00C9425A">
        <w:rPr>
          <w:b/>
        </w:rPr>
        <w:t xml:space="preserve">Charge and </w:t>
      </w:r>
      <w:r w:rsidR="00FB3532" w:rsidRPr="00FB3532">
        <w:rPr>
          <w:b/>
        </w:rPr>
        <w:t>Voting Members</w:t>
      </w:r>
    </w:p>
    <w:p w:rsidR="00D559DD" w:rsidRPr="00D559DD" w:rsidRDefault="00C9425A" w:rsidP="00FB3532">
      <w:pPr>
        <w:pStyle w:val="NormalWeb"/>
        <w:ind w:left="360"/>
      </w:pPr>
      <w:r w:rsidRPr="00A9718D">
        <w:t>The Space Management Committee (SMC)</w:t>
      </w:r>
      <w:r>
        <w:t xml:space="preserve"> is designated with certain responsibilities as defined in the UCH Space Management Policy (Policy No 2009-01).</w:t>
      </w:r>
      <w:r w:rsidRPr="00A9718D">
        <w:t xml:space="preserve"> Specific responsibilities for the management of space include: the allocation of space; the resolution of space problems; verification that space is being used for the purpose specified; the alignment of the use of space to the institution’s mission and priorities</w:t>
      </w:r>
      <w:r>
        <w:t>;</w:t>
      </w:r>
      <w:r w:rsidRPr="00A9718D">
        <w:t xml:space="preserve"> and prompt reporting of changes in allocation, use, or configuration of space</w:t>
      </w:r>
      <w:r>
        <w:t xml:space="preserve">. </w:t>
      </w:r>
      <w:r w:rsidR="00D559DD" w:rsidRPr="00D559DD">
        <w:t xml:space="preserve">Voting membership of the SMC will be the following (or </w:t>
      </w:r>
      <w:r w:rsidR="009A431C">
        <w:t>their</w:t>
      </w:r>
      <w:r w:rsidR="00D559DD" w:rsidRPr="00D559DD">
        <w:t xml:space="preserve"> designee):</w:t>
      </w:r>
    </w:p>
    <w:p w:rsidR="000E1275" w:rsidRDefault="000E1275" w:rsidP="008E34BB">
      <w:pPr>
        <w:pStyle w:val="NormalWeb"/>
        <w:numPr>
          <w:ilvl w:val="0"/>
          <w:numId w:val="2"/>
        </w:numPr>
        <w:tabs>
          <w:tab w:val="clear" w:pos="720"/>
          <w:tab w:val="num" w:pos="1080"/>
        </w:tabs>
        <w:spacing w:line="360" w:lineRule="auto"/>
        <w:ind w:left="1080"/>
      </w:pPr>
      <w:r>
        <w:t>Vice President, Facilities Development &amp; Operations – Chair of the SMC</w:t>
      </w:r>
      <w:r w:rsidR="008E34BB">
        <w:rPr>
          <w:rStyle w:val="FootnoteReference"/>
        </w:rPr>
        <w:footnoteReference w:id="1"/>
      </w:r>
    </w:p>
    <w:p w:rsidR="00D559DD" w:rsidRPr="00D559DD" w:rsidRDefault="000E1275" w:rsidP="00FB3532">
      <w:pPr>
        <w:pStyle w:val="NormalWeb"/>
        <w:numPr>
          <w:ilvl w:val="0"/>
          <w:numId w:val="2"/>
        </w:numPr>
        <w:tabs>
          <w:tab w:val="clear" w:pos="720"/>
          <w:tab w:val="num" w:pos="1080"/>
        </w:tabs>
        <w:spacing w:line="360" w:lineRule="auto"/>
        <w:ind w:left="1080"/>
      </w:pPr>
      <w:r>
        <w:t>UCH</w:t>
      </w:r>
      <w:r w:rsidR="00D559DD" w:rsidRPr="00D559DD">
        <w:t xml:space="preserve"> Chief of Staff</w:t>
      </w:r>
    </w:p>
    <w:p w:rsidR="00D559DD" w:rsidRPr="00D559DD" w:rsidRDefault="00D559DD" w:rsidP="00FB3532">
      <w:pPr>
        <w:pStyle w:val="NormalWeb"/>
        <w:numPr>
          <w:ilvl w:val="0"/>
          <w:numId w:val="2"/>
        </w:numPr>
        <w:tabs>
          <w:tab w:val="clear" w:pos="720"/>
          <w:tab w:val="num" w:pos="1080"/>
        </w:tabs>
        <w:spacing w:line="360" w:lineRule="auto"/>
        <w:ind w:left="1080"/>
      </w:pPr>
      <w:r w:rsidRPr="00D559DD">
        <w:t>Dean, School of Dental Medicine</w:t>
      </w:r>
      <w:r w:rsidR="00CF6D6A">
        <w:t xml:space="preserve"> (SoDM)</w:t>
      </w:r>
      <w:r w:rsidRPr="00D559DD">
        <w:rPr>
          <w:vertAlign w:val="superscript"/>
        </w:rPr>
        <w:footnoteReference w:id="2"/>
      </w:r>
    </w:p>
    <w:p w:rsidR="00D559DD" w:rsidRPr="00D559DD" w:rsidRDefault="00D559DD" w:rsidP="005D5220">
      <w:pPr>
        <w:pStyle w:val="NormalWeb"/>
        <w:numPr>
          <w:ilvl w:val="0"/>
          <w:numId w:val="2"/>
        </w:numPr>
        <w:spacing w:line="360" w:lineRule="auto"/>
        <w:ind w:left="1080"/>
      </w:pPr>
      <w:r w:rsidRPr="00D559DD">
        <w:t>Dean, School of Medicine</w:t>
      </w:r>
      <w:r w:rsidR="00CF6D6A">
        <w:t xml:space="preserve"> (SoM)</w:t>
      </w:r>
      <w:r w:rsidR="005D5220">
        <w:rPr>
          <w:vertAlign w:val="superscript"/>
        </w:rPr>
        <w:t>2</w:t>
      </w:r>
    </w:p>
    <w:p w:rsidR="00D559DD" w:rsidRDefault="00022804" w:rsidP="00FB3532">
      <w:pPr>
        <w:pStyle w:val="NormalWeb"/>
        <w:numPr>
          <w:ilvl w:val="0"/>
          <w:numId w:val="2"/>
        </w:numPr>
        <w:spacing w:line="360" w:lineRule="auto"/>
        <w:ind w:left="1080"/>
      </w:pPr>
      <w:r>
        <w:t xml:space="preserve">Senior </w:t>
      </w:r>
      <w:r w:rsidR="00D559DD" w:rsidRPr="00D559DD">
        <w:t>Associate Dean for Research Plann</w:t>
      </w:r>
      <w:r w:rsidR="00CF6D6A">
        <w:t>ing and Coordination, So</w:t>
      </w:r>
      <w:r w:rsidR="00D559DD" w:rsidRPr="00D559DD">
        <w:t>M</w:t>
      </w:r>
    </w:p>
    <w:p w:rsidR="00D559DD" w:rsidRPr="00D559DD" w:rsidRDefault="00D559DD" w:rsidP="00FB3532">
      <w:pPr>
        <w:pStyle w:val="NormalWeb"/>
        <w:numPr>
          <w:ilvl w:val="0"/>
          <w:numId w:val="2"/>
        </w:numPr>
        <w:spacing w:line="360" w:lineRule="auto"/>
        <w:ind w:left="1080"/>
      </w:pPr>
      <w:r w:rsidRPr="00D559DD">
        <w:t>Associate Dean for Research, SoDM</w:t>
      </w:r>
    </w:p>
    <w:p w:rsidR="00D559DD" w:rsidRPr="007E5DD7" w:rsidRDefault="00CF6D6A" w:rsidP="00FB3532">
      <w:pPr>
        <w:pStyle w:val="NormalWeb"/>
        <w:numPr>
          <w:ilvl w:val="0"/>
          <w:numId w:val="2"/>
        </w:numPr>
        <w:spacing w:line="360" w:lineRule="auto"/>
        <w:ind w:left="1080"/>
      </w:pPr>
      <w:r>
        <w:t>So</w:t>
      </w:r>
      <w:r w:rsidR="007E5DD7">
        <w:t xml:space="preserve">M </w:t>
      </w:r>
      <w:r w:rsidR="00D559DD" w:rsidRPr="007E5DD7">
        <w:t>Associate Dean for Clinical Affairs</w:t>
      </w:r>
    </w:p>
    <w:p w:rsidR="007E5DD7" w:rsidRPr="007E5DD7" w:rsidRDefault="00CF6D6A" w:rsidP="007E5DD7">
      <w:pPr>
        <w:pStyle w:val="NormalWeb"/>
        <w:numPr>
          <w:ilvl w:val="0"/>
          <w:numId w:val="2"/>
        </w:numPr>
        <w:spacing w:line="360" w:lineRule="auto"/>
        <w:ind w:left="1080"/>
      </w:pPr>
      <w:r>
        <w:t>So</w:t>
      </w:r>
      <w:r w:rsidR="007E5DD7">
        <w:t xml:space="preserve">DM </w:t>
      </w:r>
      <w:r w:rsidR="007E5DD7" w:rsidRPr="007E5DD7">
        <w:t>Associate Dean for Clinical Affairs</w:t>
      </w:r>
    </w:p>
    <w:p w:rsidR="00D559DD" w:rsidRPr="00D559DD" w:rsidRDefault="00022804" w:rsidP="00FB3532">
      <w:pPr>
        <w:pStyle w:val="NormalWeb"/>
        <w:numPr>
          <w:ilvl w:val="0"/>
          <w:numId w:val="2"/>
        </w:numPr>
        <w:spacing w:line="360" w:lineRule="auto"/>
        <w:ind w:left="1080"/>
      </w:pPr>
      <w:r>
        <w:t xml:space="preserve">UCH </w:t>
      </w:r>
      <w:r w:rsidR="00D559DD" w:rsidRPr="00D559DD">
        <w:t>Chief Financial Officer</w:t>
      </w:r>
    </w:p>
    <w:p w:rsidR="00D559DD" w:rsidRDefault="00022804" w:rsidP="00FB3532">
      <w:pPr>
        <w:pStyle w:val="NormalWeb"/>
        <w:numPr>
          <w:ilvl w:val="0"/>
          <w:numId w:val="2"/>
        </w:numPr>
        <w:spacing w:line="360" w:lineRule="auto"/>
        <w:ind w:left="1080"/>
      </w:pPr>
      <w:r>
        <w:t xml:space="preserve">UCH </w:t>
      </w:r>
      <w:r w:rsidR="00D559DD" w:rsidRPr="00D559DD">
        <w:t>Chief Administrative Officer</w:t>
      </w:r>
    </w:p>
    <w:p w:rsidR="000E1275" w:rsidRPr="00D559DD" w:rsidRDefault="000E1275" w:rsidP="000E1275">
      <w:pPr>
        <w:pStyle w:val="NormalWeb"/>
        <w:numPr>
          <w:ilvl w:val="0"/>
          <w:numId w:val="2"/>
        </w:numPr>
        <w:spacing w:line="360" w:lineRule="auto"/>
        <w:ind w:left="1080"/>
      </w:pPr>
      <w:r>
        <w:t>Chief Nursing Officer/Chief Operating Officer</w:t>
      </w:r>
      <w:r w:rsidRPr="00D559DD">
        <w:t>, John Dempsey Hospital</w:t>
      </w:r>
    </w:p>
    <w:p w:rsidR="000E1275" w:rsidRDefault="000E1275" w:rsidP="00FB3532">
      <w:pPr>
        <w:pStyle w:val="NormalWeb"/>
        <w:numPr>
          <w:ilvl w:val="0"/>
          <w:numId w:val="2"/>
        </w:numPr>
        <w:spacing w:line="360" w:lineRule="auto"/>
        <w:ind w:left="1080"/>
      </w:pPr>
      <w:r>
        <w:t>Vice President of Ambulatory Services/Chief Operating Officer, UConn Medical Group</w:t>
      </w:r>
    </w:p>
    <w:p w:rsidR="00C9425A" w:rsidRPr="00D559DD" w:rsidRDefault="004D4CB3" w:rsidP="00C9425A">
      <w:pPr>
        <w:pStyle w:val="NormalWeb"/>
        <w:spacing w:line="360" w:lineRule="auto"/>
        <w:ind w:left="360"/>
      </w:pPr>
      <w:r>
        <w:t>Non-voting members may be admitted to the committee at the discretion of the SMC Chairperson.</w:t>
      </w:r>
    </w:p>
    <w:p w:rsidR="00D559DD" w:rsidRPr="00FB3532" w:rsidRDefault="00D559DD" w:rsidP="00550EC5">
      <w:pPr>
        <w:pStyle w:val="NormalWeb"/>
        <w:numPr>
          <w:ilvl w:val="0"/>
          <w:numId w:val="12"/>
        </w:numPr>
        <w:rPr>
          <w:b/>
        </w:rPr>
      </w:pPr>
      <w:r w:rsidRPr="00FB3532">
        <w:rPr>
          <w:b/>
        </w:rPr>
        <w:lastRenderedPageBreak/>
        <w:t>Planning for the Use of Space</w:t>
      </w:r>
    </w:p>
    <w:p w:rsidR="00550EC5" w:rsidRDefault="00550EC5" w:rsidP="00550EC5">
      <w:pPr>
        <w:pStyle w:val="NormalWeb"/>
        <w:ind w:left="360"/>
      </w:pPr>
      <w:r w:rsidRPr="00D559DD">
        <w:t xml:space="preserve">The Space Management Committee reviews requests for new space with technical assistance </w:t>
      </w:r>
      <w:r>
        <w:t xml:space="preserve">and analysis </w:t>
      </w:r>
      <w:r w:rsidRPr="00D559DD">
        <w:t xml:space="preserve">provided by Campus Planning, Design &amp; Construction. </w:t>
      </w:r>
    </w:p>
    <w:p w:rsidR="00550EC5" w:rsidRDefault="00D559DD" w:rsidP="00550EC5">
      <w:pPr>
        <w:pStyle w:val="NormalWeb"/>
        <w:ind w:left="360"/>
      </w:pPr>
      <w:r w:rsidRPr="00D559DD">
        <w:t>Space needs and associated costs should be considered along with the need for all other resources in developing requests and proposals for new programs or changes in existing programs.</w:t>
      </w:r>
    </w:p>
    <w:p w:rsidR="00FB687B" w:rsidRDefault="00D559DD" w:rsidP="00827349">
      <w:pPr>
        <w:pStyle w:val="NormalWeb"/>
        <w:ind w:left="360"/>
      </w:pPr>
      <w:r w:rsidRPr="00D559DD">
        <w:t>The hiring of new personnel should not be approved unless the major unit head attests appropriate arrangements have been made to provide for sufficient space to support such employees.</w:t>
      </w:r>
    </w:p>
    <w:p w:rsidR="00D559DD" w:rsidRPr="00D559DD" w:rsidRDefault="00D559DD" w:rsidP="00827349">
      <w:pPr>
        <w:pStyle w:val="NormalWeb"/>
        <w:ind w:left="360"/>
      </w:pPr>
      <w:r w:rsidRPr="00D559DD">
        <w:t>Space needs are analyzed in the context of the following criteria:</w:t>
      </w:r>
    </w:p>
    <w:p w:rsidR="00D559DD" w:rsidRPr="00D559DD" w:rsidRDefault="00D559DD" w:rsidP="00FB3532">
      <w:pPr>
        <w:pStyle w:val="ListParagraph"/>
        <w:numPr>
          <w:ilvl w:val="0"/>
          <w:numId w:val="13"/>
        </w:numPr>
        <w:spacing w:before="100" w:beforeAutospacing="1" w:after="100" w:afterAutospacing="1" w:line="360" w:lineRule="auto"/>
      </w:pPr>
      <w:r w:rsidRPr="00D559DD">
        <w:t xml:space="preserve">Campus-wide priorities, applicable long </w:t>
      </w:r>
      <w:r w:rsidR="00827349">
        <w:t>range space and or strategic plans;</w:t>
      </w:r>
    </w:p>
    <w:p w:rsidR="00D559DD" w:rsidRPr="00D559DD" w:rsidRDefault="00D559DD" w:rsidP="00FB3532">
      <w:pPr>
        <w:pStyle w:val="ListParagraph"/>
        <w:numPr>
          <w:ilvl w:val="0"/>
          <w:numId w:val="13"/>
        </w:numPr>
        <w:spacing w:before="100" w:beforeAutospacing="1" w:after="100" w:afterAutospacing="1" w:line="360" w:lineRule="auto"/>
      </w:pPr>
      <w:r w:rsidRPr="00D559DD">
        <w:t>Program type (for example, inst</w:t>
      </w:r>
      <w:r w:rsidR="00827349">
        <w:t>ructional or non-instructional);</w:t>
      </w:r>
      <w:r w:rsidRPr="00D559DD">
        <w:t xml:space="preserve"> </w:t>
      </w:r>
    </w:p>
    <w:p w:rsidR="00D559DD" w:rsidRPr="00D559DD" w:rsidRDefault="00D559DD" w:rsidP="00FB3532">
      <w:pPr>
        <w:pStyle w:val="ListParagraph"/>
        <w:numPr>
          <w:ilvl w:val="0"/>
          <w:numId w:val="13"/>
        </w:numPr>
        <w:spacing w:before="100" w:beforeAutospacing="1" w:after="100" w:afterAutospacing="1" w:line="360" w:lineRule="auto"/>
      </w:pPr>
      <w:r w:rsidRPr="00D559DD">
        <w:t>Type of space required (for example, office, storage, or laboratory);</w:t>
      </w:r>
    </w:p>
    <w:p w:rsidR="00D559DD" w:rsidRPr="00D559DD" w:rsidRDefault="00D559DD" w:rsidP="00FB3532">
      <w:pPr>
        <w:pStyle w:val="ListParagraph"/>
        <w:numPr>
          <w:ilvl w:val="0"/>
          <w:numId w:val="13"/>
        </w:numPr>
        <w:spacing w:before="100" w:beforeAutospacing="1" w:after="100" w:afterAutospacing="1" w:line="360" w:lineRule="auto"/>
      </w:pPr>
      <w:r w:rsidRPr="00D559DD">
        <w:t>Whether the space need is temporary or long term;</w:t>
      </w:r>
    </w:p>
    <w:p w:rsidR="00D559DD" w:rsidRPr="00D559DD" w:rsidRDefault="00D559DD" w:rsidP="00FB3532">
      <w:pPr>
        <w:pStyle w:val="ListParagraph"/>
        <w:numPr>
          <w:ilvl w:val="0"/>
          <w:numId w:val="13"/>
        </w:numPr>
        <w:spacing w:before="100" w:beforeAutospacing="1" w:after="100" w:afterAutospacing="1" w:line="360" w:lineRule="auto"/>
      </w:pPr>
      <w:r w:rsidRPr="00D559DD">
        <w:t>Fund source to modify or maintain the space;</w:t>
      </w:r>
    </w:p>
    <w:p w:rsidR="00D559DD" w:rsidRPr="00D559DD" w:rsidRDefault="00D559DD" w:rsidP="00FB3532">
      <w:pPr>
        <w:pStyle w:val="ListParagraph"/>
        <w:numPr>
          <w:ilvl w:val="0"/>
          <w:numId w:val="13"/>
        </w:numPr>
        <w:spacing w:before="100" w:beforeAutospacing="1" w:after="100" w:afterAutospacing="1" w:line="360" w:lineRule="auto"/>
      </w:pPr>
      <w:r w:rsidRPr="00D559DD">
        <w:t>Adjacency factors and the need for contiguous space, support facilities, or access to campus operations</w:t>
      </w:r>
      <w:r w:rsidR="00827349">
        <w:t>;</w:t>
      </w:r>
    </w:p>
    <w:p w:rsidR="00D559DD" w:rsidRDefault="00D559DD" w:rsidP="00FB3532">
      <w:pPr>
        <w:pStyle w:val="ListParagraph"/>
        <w:numPr>
          <w:ilvl w:val="0"/>
          <w:numId w:val="13"/>
        </w:numPr>
        <w:spacing w:before="100" w:beforeAutospacing="1" w:after="100" w:afterAutospacing="1" w:line="360" w:lineRule="auto"/>
      </w:pPr>
      <w:r w:rsidRPr="00D559DD">
        <w:t>Revenue/Grant support</w:t>
      </w:r>
    </w:p>
    <w:p w:rsidR="00C9425A" w:rsidRDefault="00C9425A" w:rsidP="00FB3532">
      <w:pPr>
        <w:pStyle w:val="ListParagraph"/>
        <w:numPr>
          <w:ilvl w:val="0"/>
          <w:numId w:val="13"/>
        </w:numPr>
        <w:spacing w:before="100" w:beforeAutospacing="1" w:after="100" w:afterAutospacing="1" w:line="360" w:lineRule="auto"/>
      </w:pPr>
      <w:r>
        <w:t xml:space="preserve">Utilization of existing space </w:t>
      </w:r>
    </w:p>
    <w:p w:rsidR="00550EC5" w:rsidRPr="00D559DD" w:rsidRDefault="00550EC5" w:rsidP="00FB3532">
      <w:pPr>
        <w:pStyle w:val="ListParagraph"/>
        <w:numPr>
          <w:ilvl w:val="0"/>
          <w:numId w:val="13"/>
        </w:numPr>
        <w:spacing w:before="100" w:beforeAutospacing="1" w:after="100" w:afterAutospacing="1" w:line="360" w:lineRule="auto"/>
      </w:pPr>
      <w:r>
        <w:t>Conformance with Office Space metrics (Appendix B)</w:t>
      </w:r>
    </w:p>
    <w:p w:rsidR="00D559DD" w:rsidRPr="00D559DD" w:rsidRDefault="00D559DD" w:rsidP="00FB3532">
      <w:pPr>
        <w:pStyle w:val="NormalWeb"/>
        <w:ind w:left="360"/>
      </w:pPr>
      <w:r w:rsidRPr="00D559DD">
        <w:t xml:space="preserve">Final resolution of requests for new space may be in the form of reallocation, exchange, or improvement of existing space, the development of new space, or the </w:t>
      </w:r>
      <w:r w:rsidR="00C9425A">
        <w:t xml:space="preserve">recommendation to lease </w:t>
      </w:r>
      <w:r w:rsidRPr="00D559DD">
        <w:t>off-campus space.</w:t>
      </w:r>
    </w:p>
    <w:p w:rsidR="00D559DD" w:rsidRDefault="00D559DD" w:rsidP="00FB3532">
      <w:pPr>
        <w:pStyle w:val="NormalWeb"/>
        <w:ind w:left="360"/>
      </w:pPr>
      <w:r w:rsidRPr="00D559DD">
        <w:t>Approval of additional space alone does not guarantee that the associated funds will be provided. Accordingly, space planning must be integrated with other resource planning. In addition, space-planning decisions may involve complicated move sequences, alterations, and considerations such as limitations on when moves can occur to minimize programmatic disruption. Thus, it is essential that space needs be planned for as far in advance as possible.</w:t>
      </w:r>
    </w:p>
    <w:p w:rsidR="00C9425A" w:rsidRDefault="00C9425A" w:rsidP="00C9425A">
      <w:pPr>
        <w:pStyle w:val="NormalWeb"/>
        <w:numPr>
          <w:ilvl w:val="0"/>
          <w:numId w:val="12"/>
        </w:numPr>
        <w:rPr>
          <w:b/>
        </w:rPr>
      </w:pPr>
      <w:r w:rsidRPr="00C9425A">
        <w:rPr>
          <w:b/>
        </w:rPr>
        <w:t xml:space="preserve">Space Utilization and Metrics: </w:t>
      </w:r>
    </w:p>
    <w:p w:rsidR="00C9425A" w:rsidRPr="00C9425A" w:rsidRDefault="00550EC5" w:rsidP="005D5220">
      <w:pPr>
        <w:pStyle w:val="NormalWeb"/>
        <w:ind w:left="360"/>
      </w:pPr>
      <w:r>
        <w:t>When reviewing space request, s</w:t>
      </w:r>
      <w:r w:rsidR="00C9425A" w:rsidRPr="00C9425A">
        <w:t xml:space="preserve">pace </w:t>
      </w:r>
      <w:r w:rsidR="005D5220">
        <w:t xml:space="preserve">utilization should </w:t>
      </w:r>
      <w:r w:rsidR="00C9425A">
        <w:t>be one</w:t>
      </w:r>
      <w:r>
        <w:t xml:space="preserve"> on criteria that is used to</w:t>
      </w:r>
      <w:r w:rsidR="005D5220">
        <w:t xml:space="preserve"> determine if existing space is available to meet the requested need.   Research space utilization analysis shall be as outlined in Appendix A.   Clinical Space utilization shall be based upon exam room utilization and peer institution metrics as determined to be applicable by the SMC.  </w:t>
      </w:r>
      <w:r>
        <w:t xml:space="preserve"> </w:t>
      </w:r>
      <w:r w:rsidR="00C9425A">
        <w:t xml:space="preserve"> </w:t>
      </w:r>
    </w:p>
    <w:p w:rsidR="00D559DD" w:rsidRPr="00D559DD" w:rsidRDefault="00D559DD">
      <w:pPr>
        <w:spacing w:after="200" w:line="276" w:lineRule="auto"/>
      </w:pPr>
      <w:r w:rsidRPr="00D559DD">
        <w:br w:type="page"/>
      </w:r>
    </w:p>
    <w:p w:rsidR="00B42032" w:rsidRPr="00A9718D" w:rsidRDefault="00B42032" w:rsidP="00550EC5">
      <w:pPr>
        <w:pStyle w:val="NormalWeb"/>
        <w:contextualSpacing/>
        <w:jc w:val="center"/>
        <w:rPr>
          <w:b/>
        </w:rPr>
      </w:pPr>
      <w:r w:rsidRPr="00A9718D">
        <w:rPr>
          <w:b/>
        </w:rPr>
        <w:lastRenderedPageBreak/>
        <w:t>Appendix A</w:t>
      </w:r>
    </w:p>
    <w:p w:rsidR="00B42032" w:rsidRPr="00A9718D" w:rsidRDefault="00B42032" w:rsidP="00B42032">
      <w:pPr>
        <w:pStyle w:val="NormalWeb"/>
        <w:contextualSpacing/>
        <w:jc w:val="center"/>
        <w:rPr>
          <w:b/>
        </w:rPr>
      </w:pPr>
      <w:r w:rsidRPr="00A9718D">
        <w:rPr>
          <w:b/>
        </w:rPr>
        <w:t>Research Space Policy</w:t>
      </w:r>
    </w:p>
    <w:p w:rsidR="00B42032" w:rsidRDefault="00B42032" w:rsidP="00B42032">
      <w:pPr>
        <w:pStyle w:val="NormalWeb"/>
        <w:contextualSpacing/>
        <w:jc w:val="center"/>
        <w:rPr>
          <w:b/>
        </w:rPr>
      </w:pPr>
      <w:r w:rsidRPr="00A9718D">
        <w:rPr>
          <w:b/>
        </w:rPr>
        <w:t>Dollar Density</w:t>
      </w:r>
    </w:p>
    <w:p w:rsidR="00A653C0" w:rsidRDefault="00A653C0" w:rsidP="00A653C0">
      <w:pPr>
        <w:pStyle w:val="NormalWeb"/>
      </w:pPr>
    </w:p>
    <w:p w:rsidR="00A653C0" w:rsidRDefault="00A653C0" w:rsidP="00A653C0">
      <w:pPr>
        <w:pStyle w:val="NormalWeb"/>
      </w:pPr>
      <w:r w:rsidRPr="00A9718D">
        <w:t xml:space="preserve">The current allocation of </w:t>
      </w:r>
      <w:r>
        <w:t>research s</w:t>
      </w:r>
      <w:r w:rsidRPr="00A9718D">
        <w:t>pace will remain constant year to year unless</w:t>
      </w:r>
      <w:r>
        <w:t xml:space="preserve"> </w:t>
      </w:r>
      <w:r w:rsidRPr="00A9718D">
        <w:t xml:space="preserve">additional </w:t>
      </w:r>
      <w:r>
        <w:t xml:space="preserve">Research </w:t>
      </w:r>
      <w:r w:rsidRPr="00A9718D">
        <w:t>space is leas</w:t>
      </w:r>
      <w:r>
        <w:t xml:space="preserve">ed, built, or existing </w:t>
      </w:r>
      <w:r w:rsidR="00822ED1">
        <w:t xml:space="preserve">non-research </w:t>
      </w:r>
      <w:r>
        <w:t xml:space="preserve">space is converted to research space by a Capital Project. </w:t>
      </w:r>
    </w:p>
    <w:p w:rsidR="00A608A6" w:rsidRDefault="00A653C0" w:rsidP="00B42032">
      <w:pPr>
        <w:pStyle w:val="NormalWeb"/>
      </w:pPr>
      <w:r>
        <w:t>In the event that new r</w:t>
      </w:r>
      <w:r w:rsidR="00B42032" w:rsidRPr="00A9718D">
        <w:t>esearch space</w:t>
      </w:r>
      <w:r>
        <w:t xml:space="preserve"> available via lease, new construction, or </w:t>
      </w:r>
      <w:r w:rsidR="00864BA5">
        <w:t>renovating existing non-research space in</w:t>
      </w:r>
      <w:r>
        <w:t>to research space</w:t>
      </w:r>
      <w:r w:rsidR="00864BA5">
        <w:t xml:space="preserve">, </w:t>
      </w:r>
      <w:r>
        <w:t xml:space="preserve">it </w:t>
      </w:r>
      <w:r w:rsidR="00B42032" w:rsidRPr="00A9718D">
        <w:t xml:space="preserve">will be allocated </w:t>
      </w:r>
      <w:r>
        <w:t xml:space="preserve">by the Executive Vice President of Health Affairs </w:t>
      </w:r>
      <w:r w:rsidR="00B42032" w:rsidRPr="00A9718D">
        <w:t xml:space="preserve">to the School of Medicine and the School of Dental Medicine </w:t>
      </w:r>
      <w:r>
        <w:t xml:space="preserve">with consideration given to existing research space utilization </w:t>
      </w:r>
      <w:r w:rsidR="00611471">
        <w:t xml:space="preserve">based upon </w:t>
      </w:r>
      <w:r>
        <w:t xml:space="preserve">the </w:t>
      </w:r>
      <w:r w:rsidR="00B42032" w:rsidRPr="00A9718D">
        <w:t>dollar density formula (see the definitions bel</w:t>
      </w:r>
      <w:r w:rsidR="00C63801">
        <w:t>ow) and other factors such as recruitment and grant</w:t>
      </w:r>
      <w:r w:rsidR="00A608A6">
        <w:t xml:space="preserve"> opportunities.</w:t>
      </w:r>
    </w:p>
    <w:p w:rsidR="00B42032" w:rsidRPr="00A9718D" w:rsidRDefault="00B42032" w:rsidP="00B42032">
      <w:pPr>
        <w:pStyle w:val="NormalWeb"/>
      </w:pPr>
      <w:r w:rsidRPr="00A9718D">
        <w:t xml:space="preserve">The Space Management Committee will review </w:t>
      </w:r>
      <w:r w:rsidR="00A608A6">
        <w:t xml:space="preserve">and reset </w:t>
      </w:r>
      <w:r w:rsidRPr="00A9718D">
        <w:t>the target ratio (d</w:t>
      </w:r>
      <w:r w:rsidR="00864BA5">
        <w:t xml:space="preserve">ollars per square foot) at the time of </w:t>
      </w:r>
      <w:r w:rsidR="00A608A6">
        <w:t xml:space="preserve">new space allocation </w:t>
      </w:r>
      <w:r w:rsidR="005D5220">
        <w:t>i</w:t>
      </w:r>
      <w:r w:rsidR="00A608A6">
        <w:t xml:space="preserve">s needed </w:t>
      </w:r>
      <w:r w:rsidR="00C63801">
        <w:t>based upon avail</w:t>
      </w:r>
      <w:r w:rsidR="00611471">
        <w:t>able peer institution bench</w:t>
      </w:r>
      <w:r w:rsidR="00C63801">
        <w:t xml:space="preserve">marks or other applicable sources </w:t>
      </w:r>
      <w:r w:rsidRPr="00A9718D">
        <w:t xml:space="preserve">and make recommendation to the </w:t>
      </w:r>
      <w:r w:rsidR="00864BA5">
        <w:t>Executive</w:t>
      </w:r>
      <w:r w:rsidR="00823D3C">
        <w:t xml:space="preserve"> Vice President for Health</w:t>
      </w:r>
      <w:r w:rsidRPr="00A9718D">
        <w:t xml:space="preserve"> Affairs </w:t>
      </w:r>
      <w:r w:rsidR="00864BA5">
        <w:t xml:space="preserve">on </w:t>
      </w:r>
      <w:r w:rsidRPr="00A9718D">
        <w:t xml:space="preserve">the </w:t>
      </w:r>
      <w:r w:rsidR="00864BA5">
        <w:t xml:space="preserve">appropriate </w:t>
      </w:r>
      <w:r w:rsidRPr="00A9718D">
        <w:t xml:space="preserve">target. The target for FY ‘09 </w:t>
      </w:r>
      <w:r w:rsidR="00864BA5">
        <w:t>was</w:t>
      </w:r>
      <w:r w:rsidRPr="00A9718D">
        <w:t xml:space="preserve"> $300/sq.</w:t>
      </w:r>
      <w:r w:rsidR="00C63801">
        <w:t xml:space="preserve"> </w:t>
      </w:r>
      <w:r w:rsidRPr="00A9718D">
        <w:t>ft.</w:t>
      </w:r>
    </w:p>
    <w:p w:rsidR="00B42032" w:rsidRPr="00A9718D" w:rsidRDefault="00B42032" w:rsidP="00B42032">
      <w:pPr>
        <w:pStyle w:val="NormalWeb"/>
      </w:pPr>
      <w:r w:rsidRPr="00A9718D">
        <w:t xml:space="preserve">The quality of laboratory space may vary depending on </w:t>
      </w:r>
      <w:r w:rsidR="00A608A6">
        <w:t>the level of renovations</w:t>
      </w:r>
      <w:r w:rsidRPr="00A9718D">
        <w:t xml:space="preserve">. The Space Management Committee </w:t>
      </w:r>
      <w:r w:rsidR="00C63801">
        <w:t>has adopted</w:t>
      </w:r>
      <w:r w:rsidRPr="00A9718D">
        <w:t xml:space="preserve"> definitions for such differences (e.g. lab “categories”), </w:t>
      </w:r>
      <w:r w:rsidR="00C63801">
        <w:t xml:space="preserve">and </w:t>
      </w:r>
      <w:r w:rsidRPr="00A9718D">
        <w:t>assign</w:t>
      </w:r>
      <w:r w:rsidR="00C63801">
        <w:t>ed</w:t>
      </w:r>
      <w:r w:rsidRPr="00A9718D">
        <w:t xml:space="preserve"> such definitions to </w:t>
      </w:r>
      <w:r w:rsidR="00C63801">
        <w:t>various areas</w:t>
      </w:r>
      <w:r w:rsidRPr="00A9718D">
        <w:t xml:space="preserve">, and develop </w:t>
      </w:r>
      <w:r w:rsidR="00C63801">
        <w:t>modifiers</w:t>
      </w:r>
      <w:r w:rsidRPr="00A9718D">
        <w:t xml:space="preserve"> for each category that will adjust the dollar density equation for such </w:t>
      </w:r>
      <w:r w:rsidR="00C63801">
        <w:t>areas</w:t>
      </w:r>
      <w:r w:rsidRPr="00A9718D">
        <w:t>. For example, in the table below, Category A space (the</w:t>
      </w:r>
      <w:r w:rsidR="00822ED1">
        <w:t xml:space="preserve"> renovated sections of the Main Building L Area, 400 Farmington Ave, and the </w:t>
      </w:r>
      <w:r w:rsidRPr="00A9718D">
        <w:t xml:space="preserve">Academic Research Building) will be given a modifier of 1.2. Therefore, </w:t>
      </w:r>
      <w:r w:rsidR="00A608A6">
        <w:t>i</w:t>
      </w:r>
      <w:r w:rsidR="00C63801">
        <w:t xml:space="preserve">f the base rate is $300/sq. ft. </w:t>
      </w:r>
      <w:r w:rsidRPr="00A9718D">
        <w:t xml:space="preserve">space will </w:t>
      </w:r>
      <w:r w:rsidR="00C63801">
        <w:t xml:space="preserve">utilization targeted for these areas is </w:t>
      </w:r>
      <w:r w:rsidRPr="00A9718D">
        <w:t>a rate of $360/sq.</w:t>
      </w:r>
      <w:r w:rsidR="00C63801">
        <w:t xml:space="preserve"> </w:t>
      </w:r>
      <w:r w:rsidRPr="00A9718D">
        <w:t>ft.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
        <w:gridCol w:w="1098"/>
        <w:gridCol w:w="5742"/>
      </w:tblGrid>
      <w:tr w:rsidR="00B42032" w:rsidRPr="00A9718D" w:rsidTr="00FB781A">
        <w:trPr>
          <w:jc w:val="center"/>
        </w:trPr>
        <w:tc>
          <w:tcPr>
            <w:tcW w:w="1098" w:type="dxa"/>
          </w:tcPr>
          <w:p w:rsidR="00B42032" w:rsidRPr="00A9718D" w:rsidRDefault="00B42032" w:rsidP="00FB781A">
            <w:pPr>
              <w:pStyle w:val="NormalWeb"/>
              <w:jc w:val="center"/>
            </w:pPr>
            <w:r w:rsidRPr="00A9718D">
              <w:t>Category</w:t>
            </w:r>
          </w:p>
        </w:tc>
        <w:tc>
          <w:tcPr>
            <w:tcW w:w="1098" w:type="dxa"/>
          </w:tcPr>
          <w:p w:rsidR="00B42032" w:rsidRPr="00A9718D" w:rsidRDefault="00B42032" w:rsidP="00FB781A">
            <w:pPr>
              <w:pStyle w:val="NormalWeb"/>
              <w:jc w:val="center"/>
            </w:pPr>
            <w:r w:rsidRPr="00A9718D">
              <w:t>Modifier</w:t>
            </w:r>
          </w:p>
        </w:tc>
        <w:tc>
          <w:tcPr>
            <w:tcW w:w="5742" w:type="dxa"/>
          </w:tcPr>
          <w:p w:rsidR="00B42032" w:rsidRPr="00A9718D" w:rsidRDefault="00B42032" w:rsidP="00FB781A">
            <w:pPr>
              <w:pStyle w:val="NormalWeb"/>
              <w:jc w:val="center"/>
            </w:pPr>
            <w:r w:rsidRPr="00A9718D">
              <w:t>Definition</w:t>
            </w:r>
          </w:p>
        </w:tc>
      </w:tr>
      <w:tr w:rsidR="00B42032" w:rsidRPr="00A9718D" w:rsidTr="00FB781A">
        <w:trPr>
          <w:jc w:val="center"/>
        </w:trPr>
        <w:tc>
          <w:tcPr>
            <w:tcW w:w="1098" w:type="dxa"/>
          </w:tcPr>
          <w:p w:rsidR="00B42032" w:rsidRPr="00A9718D" w:rsidRDefault="00B42032" w:rsidP="00FB781A">
            <w:pPr>
              <w:pStyle w:val="NormalWeb"/>
              <w:jc w:val="center"/>
            </w:pPr>
            <w:r w:rsidRPr="00A9718D">
              <w:t>A</w:t>
            </w:r>
          </w:p>
        </w:tc>
        <w:tc>
          <w:tcPr>
            <w:tcW w:w="1098" w:type="dxa"/>
          </w:tcPr>
          <w:p w:rsidR="00B42032" w:rsidRPr="00A9718D" w:rsidRDefault="00B42032" w:rsidP="00FB781A">
            <w:pPr>
              <w:pStyle w:val="NormalWeb"/>
              <w:jc w:val="center"/>
            </w:pPr>
            <w:r w:rsidRPr="00A9718D">
              <w:t>1.2</w:t>
            </w:r>
          </w:p>
        </w:tc>
        <w:tc>
          <w:tcPr>
            <w:tcW w:w="5742" w:type="dxa"/>
          </w:tcPr>
          <w:p w:rsidR="00B42032" w:rsidRPr="00A9718D" w:rsidRDefault="00C63801" w:rsidP="00C63801">
            <w:pPr>
              <w:pStyle w:val="NormalWeb"/>
            </w:pPr>
            <w:r>
              <w:t xml:space="preserve">Renovated </w:t>
            </w:r>
            <w:r w:rsidR="00822ED1">
              <w:t>L Area</w:t>
            </w:r>
            <w:r>
              <w:t xml:space="preserve">, </w:t>
            </w:r>
            <w:r w:rsidR="00B42032" w:rsidRPr="00A9718D">
              <w:t>ARB</w:t>
            </w:r>
            <w:r>
              <w:t xml:space="preserve">, MSI, 400 Farmington, or </w:t>
            </w:r>
            <w:r w:rsidR="00B42032" w:rsidRPr="00A9718D">
              <w:t xml:space="preserve"> equivalent space (open design), .095 linear feet of bench/square foot</w:t>
            </w:r>
          </w:p>
        </w:tc>
      </w:tr>
      <w:tr w:rsidR="00B42032" w:rsidRPr="00A9718D" w:rsidTr="00FB781A">
        <w:trPr>
          <w:jc w:val="center"/>
        </w:trPr>
        <w:tc>
          <w:tcPr>
            <w:tcW w:w="1098" w:type="dxa"/>
          </w:tcPr>
          <w:p w:rsidR="00B42032" w:rsidRPr="00A9718D" w:rsidRDefault="00B42032" w:rsidP="00FB781A">
            <w:pPr>
              <w:pStyle w:val="NormalWeb"/>
              <w:jc w:val="center"/>
            </w:pPr>
            <w:r w:rsidRPr="00A9718D">
              <w:t>B</w:t>
            </w:r>
          </w:p>
        </w:tc>
        <w:tc>
          <w:tcPr>
            <w:tcW w:w="1098" w:type="dxa"/>
          </w:tcPr>
          <w:p w:rsidR="00B42032" w:rsidRPr="00A9718D" w:rsidRDefault="00B42032" w:rsidP="00FB781A">
            <w:pPr>
              <w:pStyle w:val="NormalWeb"/>
              <w:jc w:val="center"/>
            </w:pPr>
            <w:r w:rsidRPr="00A9718D">
              <w:t>1.0</w:t>
            </w:r>
          </w:p>
        </w:tc>
        <w:tc>
          <w:tcPr>
            <w:tcW w:w="5742" w:type="dxa"/>
          </w:tcPr>
          <w:p w:rsidR="00B42032" w:rsidRPr="00A9718D" w:rsidRDefault="00B42032" w:rsidP="004C653F">
            <w:pPr>
              <w:pStyle w:val="NormalWeb"/>
            </w:pPr>
            <w:r w:rsidRPr="00A9718D">
              <w:t xml:space="preserve">L </w:t>
            </w:r>
            <w:r w:rsidR="004C653F">
              <w:t>Area</w:t>
            </w:r>
            <w:r w:rsidRPr="00A9718D">
              <w:t xml:space="preserve"> </w:t>
            </w:r>
            <w:r w:rsidR="00C63801">
              <w:t>non-</w:t>
            </w:r>
            <w:r w:rsidRPr="00A9718D">
              <w:t xml:space="preserve">renovated </w:t>
            </w:r>
            <w:r w:rsidR="004C653F">
              <w:t xml:space="preserve">or </w:t>
            </w:r>
            <w:r w:rsidRPr="00A9718D">
              <w:t>equivalent space, .09 linear feet of bench/square foot</w:t>
            </w:r>
          </w:p>
        </w:tc>
      </w:tr>
      <w:tr w:rsidR="00B42032" w:rsidRPr="00A9718D" w:rsidTr="00FB781A">
        <w:trPr>
          <w:jc w:val="center"/>
        </w:trPr>
        <w:tc>
          <w:tcPr>
            <w:tcW w:w="1098" w:type="dxa"/>
          </w:tcPr>
          <w:p w:rsidR="00B42032" w:rsidRPr="00A9718D" w:rsidRDefault="00B42032" w:rsidP="00FB781A">
            <w:pPr>
              <w:pStyle w:val="NormalWeb"/>
              <w:jc w:val="center"/>
            </w:pPr>
            <w:r w:rsidRPr="00A9718D">
              <w:t>C</w:t>
            </w:r>
          </w:p>
        </w:tc>
        <w:tc>
          <w:tcPr>
            <w:tcW w:w="1098" w:type="dxa"/>
          </w:tcPr>
          <w:p w:rsidR="00B42032" w:rsidRPr="00A9718D" w:rsidRDefault="00B42032" w:rsidP="00FB781A">
            <w:pPr>
              <w:pStyle w:val="NormalWeb"/>
              <w:jc w:val="center"/>
            </w:pPr>
            <w:r w:rsidRPr="00A9718D">
              <w:t>.9</w:t>
            </w:r>
          </w:p>
        </w:tc>
        <w:tc>
          <w:tcPr>
            <w:tcW w:w="5742" w:type="dxa"/>
          </w:tcPr>
          <w:p w:rsidR="00B42032" w:rsidRPr="00A9718D" w:rsidRDefault="00A608A6" w:rsidP="00550EC5">
            <w:pPr>
              <w:pStyle w:val="NormalWeb"/>
            </w:pPr>
            <w:r>
              <w:t>O</w:t>
            </w:r>
            <w:r w:rsidR="00B42032" w:rsidRPr="00A9718D">
              <w:t xml:space="preserve">ther </w:t>
            </w:r>
            <w:r w:rsidR="004C653F">
              <w:t xml:space="preserve">areas with lab space that has not been substantially </w:t>
            </w:r>
            <w:r w:rsidR="00B42032" w:rsidRPr="00A9718D">
              <w:t xml:space="preserve">renovated </w:t>
            </w:r>
          </w:p>
        </w:tc>
      </w:tr>
    </w:tbl>
    <w:p w:rsidR="00B42032" w:rsidRPr="00A9718D" w:rsidRDefault="00B42032" w:rsidP="00550EC5">
      <w:pPr>
        <w:pStyle w:val="NormalWeb"/>
      </w:pPr>
      <w:r w:rsidRPr="00A9718D">
        <w:t xml:space="preserve">Once the </w:t>
      </w:r>
      <w:r w:rsidR="00822ED1">
        <w:t>utilization</w:t>
      </w:r>
      <w:r w:rsidRPr="00A9718D">
        <w:t xml:space="preserve"> has been determined by the formula above, the amount</w:t>
      </w:r>
      <w:r w:rsidR="00FE52BC">
        <w:t xml:space="preserve"> of the benchmark allocation </w:t>
      </w:r>
      <w:r w:rsidRPr="00A9718D">
        <w:t>to the School</w:t>
      </w:r>
      <w:r w:rsidR="00FE52BC">
        <w:t>s</w:t>
      </w:r>
      <w:r w:rsidRPr="00A9718D">
        <w:t xml:space="preserve"> will be 105% of the determined amount. The additional 5% provides the </w:t>
      </w:r>
      <w:r w:rsidR="00FE52BC">
        <w:t>accounts for School growth opportunities</w:t>
      </w:r>
      <w:r w:rsidRPr="00A9718D">
        <w:t>.</w:t>
      </w:r>
    </w:p>
    <w:p w:rsidR="00B42032" w:rsidRDefault="00B42032" w:rsidP="00B42032">
      <w:pPr>
        <w:pStyle w:val="NormalWeb"/>
      </w:pPr>
      <w:r w:rsidRPr="00A9718D">
        <w:t xml:space="preserve">If the total space </w:t>
      </w:r>
      <w:r w:rsidR="00FE52BC">
        <w:t>benchmark allocation</w:t>
      </w:r>
      <w:r w:rsidRPr="00A9718D">
        <w:t xml:space="preserve"> by the formula exceeds that available in the institution, each school</w:t>
      </w:r>
      <w:r w:rsidR="00FE52BC">
        <w:t>s benchmark allocation</w:t>
      </w:r>
      <w:r w:rsidRPr="00A9718D">
        <w:t xml:space="preserve"> will </w:t>
      </w:r>
      <w:r w:rsidR="00FE52BC">
        <w:t>be</w:t>
      </w:r>
      <w:r w:rsidRPr="00A9718D">
        <w:t xml:space="preserve"> a pro-rated share of the space available (i.e. </w:t>
      </w:r>
    </w:p>
    <w:p w:rsidR="00B42032" w:rsidRPr="00A9718D" w:rsidRDefault="00B42032" w:rsidP="00B42032">
      <w:pPr>
        <w:pStyle w:val="NormalWeb"/>
      </w:pPr>
      <w:r w:rsidRPr="00A9718D">
        <w:rPr>
          <w:position w:val="-28"/>
        </w:rPr>
        <w:object w:dxaOrig="100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33pt" o:ole="">
            <v:imagedata r:id="rId9" o:title=""/>
          </v:shape>
          <o:OLEObject Type="Embed" ProgID="Equation.3" ShapeID="_x0000_i1025" DrawAspect="Content" ObjectID="_1688300957" r:id="rId10"/>
        </w:object>
      </w:r>
    </w:p>
    <w:p w:rsidR="00B42032" w:rsidRPr="00774FC9" w:rsidRDefault="00B42032" w:rsidP="005D5220">
      <w:pPr>
        <w:pStyle w:val="NormalWeb"/>
        <w:numPr>
          <w:ilvl w:val="0"/>
          <w:numId w:val="14"/>
        </w:numPr>
        <w:rPr>
          <w:b/>
        </w:rPr>
      </w:pPr>
      <w:r w:rsidRPr="00774FC9">
        <w:rPr>
          <w:b/>
        </w:rPr>
        <w:t>Dollar Density Formula and Definitions</w:t>
      </w:r>
    </w:p>
    <w:p w:rsidR="00B42032" w:rsidRPr="00A9718D" w:rsidRDefault="00B42032" w:rsidP="00B42032">
      <w:pPr>
        <w:jc w:val="center"/>
        <w:rPr>
          <w:b/>
          <w:bCs/>
        </w:rPr>
      </w:pPr>
      <w:r w:rsidRPr="00A9718D">
        <w:rPr>
          <w:b/>
          <w:bCs/>
        </w:rPr>
        <w:lastRenderedPageBreak/>
        <w:t xml:space="preserve">Dollar Density = </w:t>
      </w:r>
      <w:r w:rsidRPr="00A9718D">
        <w:rPr>
          <w:b/>
          <w:bCs/>
          <w:position w:val="-28"/>
        </w:rPr>
        <w:object w:dxaOrig="2100" w:dyaOrig="660">
          <v:shape id="_x0000_i1026" type="#_x0000_t75" style="width:105pt;height:33pt" o:ole="">
            <v:imagedata r:id="rId11" o:title=""/>
          </v:shape>
          <o:OLEObject Type="Embed" ProgID="Equation.3" ShapeID="_x0000_i1026" DrawAspect="Content" ObjectID="_1688300958" r:id="rId12"/>
        </w:object>
      </w:r>
    </w:p>
    <w:p w:rsidR="00774FC9" w:rsidRDefault="00774FC9" w:rsidP="006B4D9E">
      <w:pPr>
        <w:ind w:left="720"/>
        <w:rPr>
          <w:b/>
          <w:bCs/>
        </w:rPr>
      </w:pPr>
    </w:p>
    <w:p w:rsidR="00B42032" w:rsidRPr="00A9718D" w:rsidRDefault="00B42032" w:rsidP="006B4D9E">
      <w:pPr>
        <w:ind w:left="720"/>
        <w:rPr>
          <w:b/>
          <w:bCs/>
        </w:rPr>
      </w:pPr>
      <w:r w:rsidRPr="00A9718D">
        <w:rPr>
          <w:b/>
          <w:bCs/>
        </w:rPr>
        <w:t>Numerator:</w:t>
      </w:r>
    </w:p>
    <w:p w:rsidR="00B42032" w:rsidRPr="00A9718D" w:rsidRDefault="00B42032" w:rsidP="006B4D9E">
      <w:pPr>
        <w:ind w:left="720"/>
      </w:pPr>
      <w:r w:rsidRPr="00A9718D">
        <w:t xml:space="preserve">Adjusted Total Cost (ATC). See definition </w:t>
      </w:r>
      <w:r w:rsidR="00774FC9">
        <w:t>below</w:t>
      </w:r>
      <w:r w:rsidRPr="00A9718D">
        <w:t>.</w:t>
      </w:r>
    </w:p>
    <w:p w:rsidR="00B42032" w:rsidRPr="00A9718D" w:rsidRDefault="00B42032" w:rsidP="006B4D9E">
      <w:pPr>
        <w:ind w:left="720"/>
      </w:pPr>
    </w:p>
    <w:p w:rsidR="00B42032" w:rsidRPr="00A9718D" w:rsidRDefault="00B42032" w:rsidP="006B4D9E">
      <w:pPr>
        <w:ind w:left="720"/>
        <w:rPr>
          <w:b/>
          <w:bCs/>
        </w:rPr>
      </w:pPr>
      <w:r w:rsidRPr="00A9718D">
        <w:rPr>
          <w:b/>
          <w:bCs/>
        </w:rPr>
        <w:t>Denominator:</w:t>
      </w:r>
    </w:p>
    <w:p w:rsidR="00B42032" w:rsidRPr="00A9718D" w:rsidRDefault="00B42032" w:rsidP="006B4D9E">
      <w:pPr>
        <w:ind w:left="720"/>
      </w:pPr>
      <w:r w:rsidRPr="00A9718D">
        <w:t>All space coded as research through the space database (FICM series 200) as well as offices, office support, conference rooms and patient care rooms used by or in support of research faculty. Offices, etc. supporting research are based on the FY ’07 Facilities and Administration Cost Report and defined as having any expenditure from ledger 5 &amp; 6 accounts.</w:t>
      </w:r>
    </w:p>
    <w:p w:rsidR="00B42032" w:rsidRDefault="00B42032" w:rsidP="006B4D9E">
      <w:pPr>
        <w:ind w:left="720"/>
        <w:rPr>
          <w:b/>
          <w:bCs/>
        </w:rPr>
      </w:pPr>
    </w:p>
    <w:p w:rsidR="00B42032" w:rsidRPr="00A9718D" w:rsidRDefault="00B42032" w:rsidP="006B4D9E">
      <w:pPr>
        <w:ind w:left="720"/>
        <w:rPr>
          <w:b/>
          <w:bCs/>
        </w:rPr>
      </w:pPr>
      <w:r w:rsidRPr="00A9718D">
        <w:rPr>
          <w:b/>
          <w:bCs/>
        </w:rPr>
        <w:t>Direct Cost:</w:t>
      </w:r>
    </w:p>
    <w:p w:rsidR="00B42032" w:rsidRPr="00A9718D" w:rsidRDefault="00B42032" w:rsidP="006B4D9E">
      <w:pPr>
        <w:ind w:left="720"/>
      </w:pPr>
      <w:r w:rsidRPr="00A9718D">
        <w:t>Expenditures actually incurred and charged to a sponsored project, including all salaries and wages, fringe benefits, materials and supplies, services, travel, subcontracts, etc, currently reported through FRS.</w:t>
      </w:r>
    </w:p>
    <w:p w:rsidR="00B42032" w:rsidRPr="00A9718D" w:rsidRDefault="00B42032" w:rsidP="006B4D9E">
      <w:pPr>
        <w:ind w:left="720"/>
      </w:pPr>
    </w:p>
    <w:p w:rsidR="00B42032" w:rsidRPr="00A9718D" w:rsidRDefault="00B42032" w:rsidP="006B4D9E">
      <w:pPr>
        <w:ind w:left="720"/>
        <w:rPr>
          <w:b/>
          <w:bCs/>
        </w:rPr>
      </w:pPr>
      <w:r w:rsidRPr="00A9718D">
        <w:rPr>
          <w:b/>
          <w:bCs/>
        </w:rPr>
        <w:t>Indirect Cost:</w:t>
      </w:r>
    </w:p>
    <w:p w:rsidR="00B42032" w:rsidRPr="00A9718D" w:rsidRDefault="00B42032" w:rsidP="006B4D9E">
      <w:pPr>
        <w:ind w:left="720"/>
      </w:pPr>
      <w:r w:rsidRPr="00A9718D">
        <w:t xml:space="preserve">Additional expenditures on a grant, commonly referred to as Facilities and Administrative cost, </w:t>
      </w:r>
      <w:r w:rsidR="00774FC9">
        <w:t>provided by an awarding agency.</w:t>
      </w:r>
    </w:p>
    <w:p w:rsidR="00B42032" w:rsidRPr="00A9718D" w:rsidRDefault="00B42032" w:rsidP="006B4D9E">
      <w:pPr>
        <w:ind w:left="720"/>
      </w:pPr>
    </w:p>
    <w:p w:rsidR="00B42032" w:rsidRPr="00A9718D" w:rsidRDefault="00B42032" w:rsidP="006B4D9E">
      <w:pPr>
        <w:ind w:left="720"/>
        <w:rPr>
          <w:b/>
          <w:bCs/>
        </w:rPr>
      </w:pPr>
      <w:r w:rsidRPr="00A9718D">
        <w:rPr>
          <w:b/>
          <w:bCs/>
        </w:rPr>
        <w:t>External Dollars:</w:t>
      </w:r>
    </w:p>
    <w:p w:rsidR="00B42032" w:rsidRPr="00A9718D" w:rsidRDefault="00B42032" w:rsidP="006B4D9E">
      <w:pPr>
        <w:ind w:left="720"/>
      </w:pPr>
      <w:r w:rsidRPr="00A9718D">
        <w:t>Grant Money received from agencies outside the Institution.</w:t>
      </w:r>
    </w:p>
    <w:p w:rsidR="00B42032" w:rsidRPr="00A9718D" w:rsidRDefault="00B42032" w:rsidP="006B4D9E">
      <w:pPr>
        <w:ind w:left="720"/>
      </w:pPr>
    </w:p>
    <w:p w:rsidR="00B42032" w:rsidRPr="00A9718D" w:rsidRDefault="00B42032" w:rsidP="006B4D9E">
      <w:pPr>
        <w:ind w:left="720"/>
        <w:rPr>
          <w:b/>
          <w:bCs/>
        </w:rPr>
      </w:pPr>
      <w:r w:rsidRPr="00A9718D">
        <w:rPr>
          <w:b/>
          <w:bCs/>
        </w:rPr>
        <w:t>Internal Dollars:</w:t>
      </w:r>
    </w:p>
    <w:p w:rsidR="00B42032" w:rsidRPr="00A9718D" w:rsidRDefault="00B42032" w:rsidP="006B4D9E">
      <w:pPr>
        <w:ind w:left="720"/>
      </w:pPr>
      <w:r w:rsidRPr="00A9718D">
        <w:t>Grant Money received from Institutional sources.</w:t>
      </w:r>
    </w:p>
    <w:p w:rsidR="00B42032" w:rsidRPr="00A9718D" w:rsidRDefault="00B42032" w:rsidP="006B4D9E">
      <w:pPr>
        <w:ind w:left="720"/>
      </w:pPr>
    </w:p>
    <w:p w:rsidR="00B42032" w:rsidRPr="00A9718D" w:rsidRDefault="00B42032" w:rsidP="006B4D9E">
      <w:pPr>
        <w:ind w:left="720"/>
        <w:rPr>
          <w:b/>
          <w:bCs/>
        </w:rPr>
      </w:pPr>
      <w:r w:rsidRPr="00A9718D">
        <w:rPr>
          <w:b/>
          <w:bCs/>
        </w:rPr>
        <w:t>NSF:</w:t>
      </w:r>
    </w:p>
    <w:p w:rsidR="00B42032" w:rsidRPr="00A9718D" w:rsidRDefault="00B42032" w:rsidP="006B4D9E">
      <w:pPr>
        <w:ind w:left="720"/>
      </w:pPr>
      <w:r w:rsidRPr="00A9718D">
        <w:t>Net Square Footage determined through the space database as calculated along the interior perimeter of the space.</w:t>
      </w:r>
    </w:p>
    <w:p w:rsidR="00B42032" w:rsidRPr="00A9718D" w:rsidRDefault="00B42032" w:rsidP="006B4D9E">
      <w:pPr>
        <w:ind w:left="720"/>
      </w:pPr>
    </w:p>
    <w:p w:rsidR="00B42032" w:rsidRPr="00A9718D" w:rsidRDefault="00B42032" w:rsidP="006B4D9E">
      <w:pPr>
        <w:ind w:left="720"/>
        <w:rPr>
          <w:b/>
          <w:bCs/>
        </w:rPr>
      </w:pPr>
      <w:r w:rsidRPr="00A9718D">
        <w:rPr>
          <w:b/>
          <w:bCs/>
        </w:rPr>
        <w:t>Functionalized NSF:</w:t>
      </w:r>
    </w:p>
    <w:p w:rsidR="00B42032" w:rsidRPr="00A9718D" w:rsidRDefault="00B42032" w:rsidP="006B4D9E">
      <w:pPr>
        <w:ind w:left="720"/>
      </w:pPr>
      <w:r w:rsidRPr="00A9718D">
        <w:t>As part of the Facilities and Administrative report, the type of work taking place (effort) is documented based on predetermined criteria. The NSF of each space is multiplied against the type of effort to determine the amount of square footage used in the space for each type of function.</w:t>
      </w:r>
    </w:p>
    <w:p w:rsidR="00B42032" w:rsidRPr="00A9718D" w:rsidRDefault="00B42032" w:rsidP="006B4D9E">
      <w:pPr>
        <w:ind w:left="720"/>
      </w:pPr>
    </w:p>
    <w:p w:rsidR="00B42032" w:rsidRPr="00A9718D" w:rsidRDefault="005A114A" w:rsidP="006B4D9E">
      <w:pPr>
        <w:ind w:left="720"/>
        <w:rPr>
          <w:b/>
          <w:bCs/>
        </w:rPr>
      </w:pPr>
      <w:r>
        <w:rPr>
          <w:b/>
          <w:bCs/>
        </w:rPr>
        <w:t>FICM Codes:</w:t>
      </w:r>
    </w:p>
    <w:p w:rsidR="00B42032" w:rsidRPr="00A9718D" w:rsidRDefault="00B42032" w:rsidP="006B4D9E">
      <w:pPr>
        <w:ind w:left="720"/>
      </w:pPr>
      <w:r w:rsidRPr="00A9718D">
        <w:t xml:space="preserve">Each space is coded </w:t>
      </w:r>
      <w:r w:rsidR="005A114A">
        <w:t>to a particular type based on</w:t>
      </w:r>
      <w:r w:rsidRPr="00A9718D">
        <w:t xml:space="preserve"> </w:t>
      </w:r>
      <w:r w:rsidR="005A114A">
        <w:t>the National Center for Education standards</w:t>
      </w:r>
      <w:r w:rsidRPr="00A9718D">
        <w:t xml:space="preserve"> (e.g. Office, Wet Lab, Wet Lab Support, etc.).</w:t>
      </w:r>
    </w:p>
    <w:p w:rsidR="00B42032" w:rsidRPr="00A9718D" w:rsidRDefault="00B42032" w:rsidP="006B4D9E">
      <w:pPr>
        <w:ind w:left="720"/>
      </w:pPr>
    </w:p>
    <w:p w:rsidR="00B42032" w:rsidRPr="00A9718D" w:rsidRDefault="00B42032" w:rsidP="006B4D9E">
      <w:pPr>
        <w:ind w:left="720"/>
        <w:rPr>
          <w:b/>
          <w:bCs/>
        </w:rPr>
      </w:pPr>
      <w:r w:rsidRPr="00A9718D">
        <w:rPr>
          <w:b/>
          <w:bCs/>
        </w:rPr>
        <w:t>Adjusted Total Cost (ATC):</w:t>
      </w:r>
    </w:p>
    <w:p w:rsidR="00B42032" w:rsidRPr="00A9718D" w:rsidRDefault="00B42032" w:rsidP="006B4D9E">
      <w:pPr>
        <w:ind w:left="720"/>
        <w:rPr>
          <w:b/>
          <w:bCs/>
        </w:rPr>
      </w:pPr>
      <w:r w:rsidRPr="00A9718D">
        <w:t>Total Direct and Indirect Costs (expenditures) from ledger 5 &amp; 6 (see definition below) adjusted per OMB Circular A-21 to exclude subcontracts in excess of $25,000.</w:t>
      </w:r>
    </w:p>
    <w:p w:rsidR="00B42032" w:rsidRPr="00A9718D" w:rsidRDefault="00B42032" w:rsidP="006B4D9E">
      <w:pPr>
        <w:ind w:left="720"/>
        <w:rPr>
          <w:b/>
          <w:bCs/>
        </w:rPr>
      </w:pPr>
    </w:p>
    <w:p w:rsidR="00B42032" w:rsidRPr="00A9718D" w:rsidRDefault="00B42032" w:rsidP="006B4D9E">
      <w:pPr>
        <w:ind w:left="720"/>
        <w:rPr>
          <w:b/>
          <w:bCs/>
        </w:rPr>
      </w:pPr>
      <w:r w:rsidRPr="00A9718D">
        <w:rPr>
          <w:b/>
          <w:bCs/>
        </w:rPr>
        <w:t>Ledger 5 &amp; 6 Accounts:</w:t>
      </w:r>
    </w:p>
    <w:p w:rsidR="00B42032" w:rsidRPr="00A9718D" w:rsidRDefault="00B42032" w:rsidP="006B4D9E">
      <w:pPr>
        <w:ind w:left="720"/>
      </w:pPr>
      <w:r w:rsidRPr="00A9718D">
        <w:t>Ledger 5 Accounts are federally sponsored projects. Ledger 6 Accounts are sponsored projects from Non-Federal Sponsors, Sub-Contracts, Endowments and Gifts.</w:t>
      </w:r>
    </w:p>
    <w:p w:rsidR="00B42032" w:rsidRPr="00A9718D" w:rsidRDefault="00B42032" w:rsidP="006B4D9E">
      <w:pPr>
        <w:ind w:left="720"/>
      </w:pPr>
    </w:p>
    <w:p w:rsidR="00B42032" w:rsidRPr="00A9718D" w:rsidRDefault="00B42032" w:rsidP="006B4D9E">
      <w:pPr>
        <w:ind w:left="720"/>
      </w:pPr>
      <w:r w:rsidRPr="00A9718D">
        <w:t xml:space="preserve">(Exclusions: Offices for the School of Dental Medicine Clinical Science department heads and ‘major’ conference rooms. Major conference rooms are large departmental conference rooms in the ARB or </w:t>
      </w:r>
      <w:r w:rsidR="004C653F">
        <w:t>Main Building L Area</w:t>
      </w:r>
      <w:r w:rsidRPr="00A9718D">
        <w:t>)</w:t>
      </w:r>
      <w:r w:rsidR="004C653F">
        <w:t>.</w:t>
      </w:r>
    </w:p>
    <w:p w:rsidR="00B42032" w:rsidRPr="00A9718D" w:rsidRDefault="00B42032" w:rsidP="00620DEA">
      <w:pPr>
        <w:pStyle w:val="NormalWeb"/>
        <w:spacing w:before="0" w:beforeAutospacing="0" w:after="0" w:afterAutospacing="0"/>
        <w:contextualSpacing/>
        <w:jc w:val="center"/>
        <w:rPr>
          <w:b/>
        </w:rPr>
      </w:pPr>
      <w:r w:rsidRPr="00A9718D">
        <w:br w:type="page"/>
      </w:r>
      <w:r w:rsidRPr="00A9718D">
        <w:rPr>
          <w:b/>
        </w:rPr>
        <w:lastRenderedPageBreak/>
        <w:t>Appendix B</w:t>
      </w:r>
    </w:p>
    <w:p w:rsidR="00B42032" w:rsidRDefault="00B42032" w:rsidP="00620DEA">
      <w:pPr>
        <w:pStyle w:val="NormalWeb"/>
        <w:spacing w:before="0" w:beforeAutospacing="0" w:after="0" w:afterAutospacing="0"/>
        <w:contextualSpacing/>
        <w:jc w:val="center"/>
        <w:rPr>
          <w:b/>
        </w:rPr>
      </w:pPr>
      <w:r w:rsidRPr="00A9718D">
        <w:rPr>
          <w:b/>
        </w:rPr>
        <w:t>Office Space Policy</w:t>
      </w:r>
    </w:p>
    <w:p w:rsidR="00B42032" w:rsidRPr="00A9718D" w:rsidRDefault="00B42032" w:rsidP="00B42032">
      <w:pPr>
        <w:pStyle w:val="NormalWeb"/>
        <w:contextualSpacing/>
        <w:jc w:val="center"/>
        <w:rPr>
          <w:b/>
        </w:rPr>
      </w:pPr>
    </w:p>
    <w:p w:rsidR="00B42032" w:rsidRPr="00A9718D" w:rsidRDefault="00B42032" w:rsidP="00B42032">
      <w:pPr>
        <w:pStyle w:val="NormalWeb"/>
      </w:pPr>
      <w:r w:rsidRPr="00A9718D">
        <w:t xml:space="preserve">The allocation of office space will be based on the standards described in the </w:t>
      </w:r>
      <w:r>
        <w:t xml:space="preserve">chart </w:t>
      </w:r>
      <w:r w:rsidRPr="00A9718D">
        <w:t>below. Note that research office space will be provided in the research plan.</w:t>
      </w:r>
    </w:p>
    <w:p w:rsidR="00B42032" w:rsidRDefault="00B42032" w:rsidP="00B42032">
      <w:pPr>
        <w:pStyle w:val="NormalWeb"/>
        <w:pBdr>
          <w:bottom w:val="double" w:sz="6" w:space="1" w:color="auto"/>
        </w:pBdr>
      </w:pPr>
      <w:r w:rsidRPr="00A9718D">
        <w:t>Note: non-employed emeritus faculty shall not be included in the space allocation formula (i.e. in the head count total).</w:t>
      </w:r>
    </w:p>
    <w:p w:rsidR="00B42032" w:rsidRPr="00A9718D" w:rsidRDefault="00B42032" w:rsidP="00B42032">
      <w:pPr>
        <w:pStyle w:val="NormalWeb"/>
        <w:pBdr>
          <w:bottom w:val="double" w:sz="6" w:space="1" w:color="auto"/>
        </w:pBdr>
        <w:tabs>
          <w:tab w:val="left" w:pos="4320"/>
          <w:tab w:val="left" w:pos="9090"/>
        </w:tabs>
        <w:rPr>
          <w:b/>
          <w:bCs/>
        </w:rPr>
      </w:pPr>
      <w:r w:rsidRPr="00A9718D">
        <w:rPr>
          <w:b/>
          <w:bCs/>
        </w:rPr>
        <w:t>TITLES</w:t>
      </w:r>
      <w:r w:rsidRPr="00A9718D">
        <w:rPr>
          <w:b/>
          <w:bCs/>
        </w:rPr>
        <w:tab/>
        <w:t>SPACE TYPE</w:t>
      </w:r>
      <w:r w:rsidRPr="00A9718D">
        <w:rPr>
          <w:b/>
          <w:bCs/>
        </w:rPr>
        <w:tab/>
        <w:t>NSF</w:t>
      </w:r>
    </w:p>
    <w:p w:rsidR="00B42032" w:rsidRPr="00A9718D" w:rsidRDefault="00B42032" w:rsidP="00B42032">
      <w:pPr>
        <w:pBdr>
          <w:top w:val="single" w:sz="4" w:space="0" w:color="auto"/>
          <w:bottom w:val="single" w:sz="4" w:space="1" w:color="auto"/>
        </w:pBdr>
        <w:autoSpaceDE w:val="0"/>
        <w:autoSpaceDN w:val="0"/>
        <w:adjustRightInd w:val="0"/>
        <w:rPr>
          <w:b/>
          <w:bCs/>
        </w:rPr>
      </w:pPr>
      <w:r w:rsidRPr="00A9718D">
        <w:rPr>
          <w:b/>
          <w:bCs/>
        </w:rPr>
        <w:t>ACADEMIC UNITS</w:t>
      </w:r>
    </w:p>
    <w:tbl>
      <w:tblPr>
        <w:tblW w:w="10098" w:type="dxa"/>
        <w:tblBorders>
          <w:insideH w:val="single" w:sz="4" w:space="0" w:color="auto"/>
        </w:tblBorders>
        <w:tblLook w:val="04A0" w:firstRow="1" w:lastRow="0" w:firstColumn="1" w:lastColumn="0" w:noHBand="0" w:noVBand="1"/>
      </w:tblPr>
      <w:tblGrid>
        <w:gridCol w:w="4428"/>
        <w:gridCol w:w="4590"/>
        <w:gridCol w:w="1080"/>
      </w:tblGrid>
      <w:tr w:rsidR="00B42032" w:rsidRPr="00A9718D" w:rsidTr="00FB781A">
        <w:tc>
          <w:tcPr>
            <w:tcW w:w="4428" w:type="dxa"/>
          </w:tcPr>
          <w:p w:rsidR="00B42032" w:rsidRPr="00A9718D" w:rsidRDefault="00B42032" w:rsidP="00FB781A">
            <w:pPr>
              <w:pStyle w:val="List"/>
              <w:ind w:left="0" w:firstLine="0"/>
              <w:rPr>
                <w:color w:val="191F1E"/>
                <w:sz w:val="24"/>
                <w:szCs w:val="24"/>
              </w:rPr>
            </w:pPr>
            <w:r w:rsidRPr="00A9718D">
              <w:rPr>
                <w:color w:val="191F1E"/>
                <w:sz w:val="24"/>
                <w:szCs w:val="24"/>
              </w:rPr>
              <w:t>Chairman</w:t>
            </w:r>
          </w:p>
        </w:tc>
        <w:tc>
          <w:tcPr>
            <w:tcW w:w="4590" w:type="dxa"/>
          </w:tcPr>
          <w:p w:rsidR="00B42032" w:rsidRPr="00A9718D" w:rsidRDefault="00B42032" w:rsidP="00FB781A">
            <w:pPr>
              <w:pStyle w:val="List"/>
              <w:ind w:left="0" w:firstLine="0"/>
              <w:rPr>
                <w:color w:val="191F1E"/>
                <w:sz w:val="24"/>
                <w:szCs w:val="24"/>
              </w:rPr>
            </w:pPr>
            <w:r w:rsidRPr="00A9718D">
              <w:rPr>
                <w:color w:val="191F1E"/>
                <w:sz w:val="24"/>
                <w:szCs w:val="24"/>
              </w:rPr>
              <w:t>Private Office</w:t>
            </w:r>
          </w:p>
        </w:tc>
        <w:tc>
          <w:tcPr>
            <w:tcW w:w="1080" w:type="dxa"/>
          </w:tcPr>
          <w:p w:rsidR="00B42032" w:rsidRPr="00A9718D" w:rsidRDefault="00B42032" w:rsidP="00FB781A">
            <w:pPr>
              <w:pStyle w:val="List"/>
              <w:ind w:left="0" w:firstLine="0"/>
              <w:jc w:val="right"/>
              <w:rPr>
                <w:color w:val="191F1E"/>
                <w:sz w:val="24"/>
                <w:szCs w:val="24"/>
              </w:rPr>
            </w:pPr>
            <w:r w:rsidRPr="00A9718D">
              <w:rPr>
                <w:color w:val="191F1E"/>
                <w:sz w:val="24"/>
                <w:szCs w:val="24"/>
              </w:rPr>
              <w:t>160-200</w:t>
            </w:r>
          </w:p>
        </w:tc>
      </w:tr>
      <w:tr w:rsidR="00B42032" w:rsidRPr="00A9718D" w:rsidTr="00FB781A">
        <w:tc>
          <w:tcPr>
            <w:tcW w:w="4428" w:type="dxa"/>
          </w:tcPr>
          <w:p w:rsidR="00B42032" w:rsidRPr="00A9718D" w:rsidRDefault="00B42032" w:rsidP="00FB781A">
            <w:pPr>
              <w:pStyle w:val="List"/>
              <w:ind w:left="0" w:firstLine="0"/>
              <w:rPr>
                <w:color w:val="191F1E"/>
                <w:sz w:val="24"/>
                <w:szCs w:val="24"/>
              </w:rPr>
            </w:pPr>
            <w:r w:rsidRPr="00A9718D">
              <w:rPr>
                <w:color w:val="191F1E"/>
                <w:sz w:val="24"/>
                <w:szCs w:val="24"/>
              </w:rPr>
              <w:t>Division Chief</w:t>
            </w:r>
          </w:p>
        </w:tc>
        <w:tc>
          <w:tcPr>
            <w:tcW w:w="4590" w:type="dxa"/>
          </w:tcPr>
          <w:p w:rsidR="00B42032" w:rsidRPr="00A9718D" w:rsidRDefault="00B42032" w:rsidP="00FB781A">
            <w:pPr>
              <w:pStyle w:val="List"/>
              <w:ind w:left="0" w:firstLine="0"/>
              <w:rPr>
                <w:color w:val="191F1E"/>
                <w:sz w:val="24"/>
                <w:szCs w:val="24"/>
              </w:rPr>
            </w:pPr>
            <w:r w:rsidRPr="00A9718D">
              <w:rPr>
                <w:color w:val="191F1E"/>
                <w:sz w:val="24"/>
                <w:szCs w:val="24"/>
              </w:rPr>
              <w:t>Private Office</w:t>
            </w:r>
          </w:p>
        </w:tc>
        <w:tc>
          <w:tcPr>
            <w:tcW w:w="1080" w:type="dxa"/>
          </w:tcPr>
          <w:p w:rsidR="00B42032" w:rsidRPr="00A9718D" w:rsidRDefault="00B42032" w:rsidP="00FB781A">
            <w:pPr>
              <w:pStyle w:val="List"/>
              <w:ind w:left="0" w:firstLine="0"/>
              <w:jc w:val="right"/>
              <w:rPr>
                <w:color w:val="191F1E"/>
                <w:sz w:val="24"/>
                <w:szCs w:val="24"/>
              </w:rPr>
            </w:pPr>
            <w:r w:rsidRPr="00A9718D">
              <w:rPr>
                <w:color w:val="191F1E"/>
                <w:sz w:val="24"/>
                <w:szCs w:val="24"/>
              </w:rPr>
              <w:t>120-140</w:t>
            </w:r>
          </w:p>
        </w:tc>
      </w:tr>
      <w:tr w:rsidR="00B42032" w:rsidRPr="00A9718D" w:rsidTr="00FB781A">
        <w:tc>
          <w:tcPr>
            <w:tcW w:w="4428" w:type="dxa"/>
          </w:tcPr>
          <w:p w:rsidR="00B42032" w:rsidRPr="00A9718D" w:rsidRDefault="00B42032" w:rsidP="00FB781A">
            <w:pPr>
              <w:pStyle w:val="List"/>
              <w:ind w:left="0" w:firstLine="0"/>
              <w:rPr>
                <w:color w:val="191F1E"/>
                <w:sz w:val="24"/>
                <w:szCs w:val="24"/>
              </w:rPr>
            </w:pPr>
            <w:r w:rsidRPr="00A9718D">
              <w:rPr>
                <w:color w:val="191F1E"/>
                <w:sz w:val="24"/>
                <w:szCs w:val="24"/>
              </w:rPr>
              <w:t xml:space="preserve">Professor </w:t>
            </w:r>
          </w:p>
        </w:tc>
        <w:tc>
          <w:tcPr>
            <w:tcW w:w="4590" w:type="dxa"/>
          </w:tcPr>
          <w:p w:rsidR="00B42032" w:rsidRPr="00A9718D" w:rsidRDefault="00B42032" w:rsidP="00FB781A">
            <w:pPr>
              <w:pStyle w:val="List"/>
              <w:ind w:left="0" w:firstLine="0"/>
              <w:rPr>
                <w:color w:val="191F1E"/>
                <w:sz w:val="24"/>
                <w:szCs w:val="24"/>
              </w:rPr>
            </w:pPr>
            <w:r w:rsidRPr="00A9718D">
              <w:rPr>
                <w:color w:val="191F1E"/>
                <w:sz w:val="24"/>
                <w:szCs w:val="24"/>
              </w:rPr>
              <w:t>Private Office</w:t>
            </w:r>
          </w:p>
        </w:tc>
        <w:tc>
          <w:tcPr>
            <w:tcW w:w="1080" w:type="dxa"/>
          </w:tcPr>
          <w:p w:rsidR="00B42032" w:rsidRPr="00A9718D" w:rsidRDefault="00B42032" w:rsidP="00FB781A">
            <w:pPr>
              <w:pStyle w:val="List"/>
              <w:ind w:left="0" w:firstLine="0"/>
              <w:jc w:val="right"/>
              <w:rPr>
                <w:color w:val="191F1E"/>
                <w:sz w:val="24"/>
                <w:szCs w:val="24"/>
              </w:rPr>
            </w:pPr>
            <w:r w:rsidRPr="00A9718D">
              <w:rPr>
                <w:color w:val="191F1E"/>
                <w:sz w:val="24"/>
                <w:szCs w:val="24"/>
              </w:rPr>
              <w:t>110-130</w:t>
            </w:r>
          </w:p>
        </w:tc>
      </w:tr>
      <w:tr w:rsidR="00B42032" w:rsidRPr="00A9718D" w:rsidTr="00FB781A">
        <w:tc>
          <w:tcPr>
            <w:tcW w:w="4428" w:type="dxa"/>
          </w:tcPr>
          <w:p w:rsidR="00B42032" w:rsidRPr="00A9718D" w:rsidRDefault="00B42032" w:rsidP="00FB781A">
            <w:pPr>
              <w:pStyle w:val="List"/>
              <w:ind w:left="0" w:firstLine="0"/>
              <w:rPr>
                <w:color w:val="191F1E"/>
                <w:sz w:val="24"/>
                <w:szCs w:val="24"/>
              </w:rPr>
            </w:pPr>
            <w:r w:rsidRPr="00A9718D">
              <w:rPr>
                <w:color w:val="191F1E"/>
                <w:sz w:val="24"/>
                <w:szCs w:val="24"/>
              </w:rPr>
              <w:t>Associate Professor</w:t>
            </w:r>
          </w:p>
        </w:tc>
        <w:tc>
          <w:tcPr>
            <w:tcW w:w="4590" w:type="dxa"/>
          </w:tcPr>
          <w:p w:rsidR="00B42032" w:rsidRPr="00A9718D" w:rsidRDefault="00B42032" w:rsidP="00FB781A">
            <w:pPr>
              <w:pStyle w:val="List"/>
              <w:ind w:left="0" w:firstLine="0"/>
              <w:rPr>
                <w:color w:val="191F1E"/>
                <w:sz w:val="24"/>
                <w:szCs w:val="24"/>
              </w:rPr>
            </w:pPr>
            <w:r w:rsidRPr="00A9718D">
              <w:rPr>
                <w:color w:val="191F1E"/>
                <w:sz w:val="24"/>
                <w:szCs w:val="24"/>
              </w:rPr>
              <w:t>Private Office</w:t>
            </w:r>
          </w:p>
        </w:tc>
        <w:tc>
          <w:tcPr>
            <w:tcW w:w="1080" w:type="dxa"/>
          </w:tcPr>
          <w:p w:rsidR="00B42032" w:rsidRPr="00A9718D" w:rsidRDefault="00B42032" w:rsidP="00FB781A">
            <w:pPr>
              <w:pStyle w:val="List"/>
              <w:ind w:left="0" w:firstLine="0"/>
              <w:jc w:val="right"/>
              <w:rPr>
                <w:color w:val="191F1E"/>
                <w:sz w:val="24"/>
                <w:szCs w:val="24"/>
              </w:rPr>
            </w:pPr>
            <w:r w:rsidRPr="00A9718D">
              <w:rPr>
                <w:color w:val="191F1E"/>
                <w:sz w:val="24"/>
                <w:szCs w:val="24"/>
              </w:rPr>
              <w:t>110-130</w:t>
            </w:r>
          </w:p>
        </w:tc>
      </w:tr>
      <w:tr w:rsidR="00B42032" w:rsidRPr="00A9718D" w:rsidTr="00FB781A">
        <w:tc>
          <w:tcPr>
            <w:tcW w:w="4428" w:type="dxa"/>
          </w:tcPr>
          <w:p w:rsidR="00B42032" w:rsidRPr="00A9718D" w:rsidRDefault="00B42032" w:rsidP="00FB781A">
            <w:pPr>
              <w:pStyle w:val="List"/>
              <w:ind w:left="0" w:firstLine="0"/>
              <w:rPr>
                <w:color w:val="191F1E"/>
                <w:sz w:val="24"/>
                <w:szCs w:val="24"/>
              </w:rPr>
            </w:pPr>
            <w:r w:rsidRPr="00A9718D">
              <w:rPr>
                <w:color w:val="191F1E"/>
                <w:sz w:val="24"/>
                <w:szCs w:val="24"/>
              </w:rPr>
              <w:t>Assistant Professor</w:t>
            </w:r>
          </w:p>
        </w:tc>
        <w:tc>
          <w:tcPr>
            <w:tcW w:w="4590" w:type="dxa"/>
          </w:tcPr>
          <w:p w:rsidR="00B42032" w:rsidRPr="00A9718D" w:rsidRDefault="00B42032" w:rsidP="00FB781A">
            <w:pPr>
              <w:pStyle w:val="List"/>
              <w:ind w:left="0" w:firstLine="0"/>
              <w:rPr>
                <w:color w:val="191F1E"/>
                <w:sz w:val="24"/>
                <w:szCs w:val="24"/>
              </w:rPr>
            </w:pPr>
            <w:r w:rsidRPr="00A9718D">
              <w:rPr>
                <w:color w:val="191F1E"/>
                <w:sz w:val="24"/>
                <w:szCs w:val="24"/>
              </w:rPr>
              <w:t>Private Office</w:t>
            </w:r>
          </w:p>
        </w:tc>
        <w:tc>
          <w:tcPr>
            <w:tcW w:w="1080" w:type="dxa"/>
          </w:tcPr>
          <w:p w:rsidR="00B42032" w:rsidRPr="00A9718D" w:rsidRDefault="00B42032" w:rsidP="00FB781A">
            <w:pPr>
              <w:pStyle w:val="List"/>
              <w:ind w:left="0" w:firstLine="0"/>
              <w:jc w:val="right"/>
              <w:rPr>
                <w:color w:val="191F1E"/>
                <w:sz w:val="24"/>
                <w:szCs w:val="24"/>
              </w:rPr>
            </w:pPr>
            <w:r w:rsidRPr="00A9718D">
              <w:rPr>
                <w:color w:val="191F1E"/>
                <w:sz w:val="24"/>
                <w:szCs w:val="24"/>
              </w:rPr>
              <w:t>110-130</w:t>
            </w:r>
          </w:p>
        </w:tc>
      </w:tr>
      <w:tr w:rsidR="00B42032" w:rsidRPr="00A9718D" w:rsidTr="00FB781A">
        <w:tc>
          <w:tcPr>
            <w:tcW w:w="4428" w:type="dxa"/>
          </w:tcPr>
          <w:p w:rsidR="00B42032" w:rsidRPr="00A9718D" w:rsidRDefault="00B42032" w:rsidP="00FB781A">
            <w:pPr>
              <w:pStyle w:val="List"/>
              <w:ind w:left="0" w:firstLine="0"/>
              <w:rPr>
                <w:color w:val="191F1E"/>
                <w:sz w:val="24"/>
                <w:szCs w:val="24"/>
              </w:rPr>
            </w:pPr>
            <w:r w:rsidRPr="00A9718D">
              <w:rPr>
                <w:color w:val="191F1E"/>
                <w:sz w:val="24"/>
                <w:szCs w:val="24"/>
              </w:rPr>
              <w:t>Instructor</w:t>
            </w:r>
          </w:p>
        </w:tc>
        <w:tc>
          <w:tcPr>
            <w:tcW w:w="4590" w:type="dxa"/>
          </w:tcPr>
          <w:p w:rsidR="00B42032" w:rsidRPr="00A9718D" w:rsidRDefault="00B42032" w:rsidP="00FB781A">
            <w:pPr>
              <w:pStyle w:val="List"/>
              <w:ind w:left="0" w:firstLine="0"/>
              <w:rPr>
                <w:color w:val="191F1E"/>
                <w:sz w:val="24"/>
                <w:szCs w:val="24"/>
              </w:rPr>
            </w:pPr>
            <w:r w:rsidRPr="00A9718D">
              <w:rPr>
                <w:color w:val="191F1E"/>
                <w:sz w:val="24"/>
                <w:szCs w:val="24"/>
              </w:rPr>
              <w:t>Private Office</w:t>
            </w:r>
          </w:p>
        </w:tc>
        <w:tc>
          <w:tcPr>
            <w:tcW w:w="1080" w:type="dxa"/>
          </w:tcPr>
          <w:p w:rsidR="00B42032" w:rsidRPr="00A9718D" w:rsidRDefault="00B42032" w:rsidP="00FB781A">
            <w:pPr>
              <w:pStyle w:val="List"/>
              <w:ind w:left="0" w:firstLine="0"/>
              <w:jc w:val="right"/>
              <w:rPr>
                <w:color w:val="191F1E"/>
                <w:sz w:val="24"/>
                <w:szCs w:val="24"/>
              </w:rPr>
            </w:pPr>
            <w:r w:rsidRPr="00A9718D">
              <w:rPr>
                <w:color w:val="191F1E"/>
                <w:sz w:val="24"/>
                <w:szCs w:val="24"/>
              </w:rPr>
              <w:t>100-120</w:t>
            </w:r>
          </w:p>
        </w:tc>
      </w:tr>
      <w:tr w:rsidR="00B42032" w:rsidRPr="00A9718D" w:rsidTr="00FB781A">
        <w:tc>
          <w:tcPr>
            <w:tcW w:w="4428" w:type="dxa"/>
          </w:tcPr>
          <w:p w:rsidR="00B42032" w:rsidRPr="00A9718D" w:rsidRDefault="00B42032" w:rsidP="00FB781A">
            <w:pPr>
              <w:pStyle w:val="List"/>
              <w:ind w:left="0" w:firstLine="0"/>
              <w:rPr>
                <w:color w:val="191F1E"/>
                <w:sz w:val="24"/>
                <w:szCs w:val="24"/>
              </w:rPr>
            </w:pPr>
            <w:r w:rsidRPr="00A9718D">
              <w:rPr>
                <w:color w:val="191F1E"/>
                <w:sz w:val="24"/>
                <w:szCs w:val="24"/>
              </w:rPr>
              <w:t xml:space="preserve">Emeritus Faculty </w:t>
            </w:r>
          </w:p>
        </w:tc>
        <w:tc>
          <w:tcPr>
            <w:tcW w:w="4590" w:type="dxa"/>
          </w:tcPr>
          <w:p w:rsidR="00B42032" w:rsidRPr="00A9718D" w:rsidRDefault="00B42032" w:rsidP="00FB781A">
            <w:pPr>
              <w:pStyle w:val="List"/>
              <w:ind w:left="0" w:firstLine="0"/>
              <w:rPr>
                <w:color w:val="191F1E"/>
                <w:sz w:val="24"/>
                <w:szCs w:val="24"/>
              </w:rPr>
            </w:pPr>
            <w:r w:rsidRPr="00A9718D">
              <w:rPr>
                <w:color w:val="191F1E"/>
                <w:sz w:val="24"/>
                <w:szCs w:val="24"/>
              </w:rPr>
              <w:t>Private Office, Shared Office, or Cubicle</w:t>
            </w:r>
          </w:p>
        </w:tc>
        <w:tc>
          <w:tcPr>
            <w:tcW w:w="1080" w:type="dxa"/>
          </w:tcPr>
          <w:p w:rsidR="00B42032" w:rsidRPr="00A9718D" w:rsidRDefault="00B42032" w:rsidP="00FB781A">
            <w:pPr>
              <w:pStyle w:val="List"/>
              <w:ind w:left="0" w:firstLine="0"/>
              <w:jc w:val="right"/>
              <w:rPr>
                <w:color w:val="191F1E"/>
                <w:sz w:val="24"/>
                <w:szCs w:val="24"/>
              </w:rPr>
            </w:pPr>
            <w:r w:rsidRPr="00A9718D">
              <w:rPr>
                <w:color w:val="191F1E"/>
                <w:sz w:val="24"/>
                <w:szCs w:val="24"/>
              </w:rPr>
              <w:t>64-100</w:t>
            </w:r>
          </w:p>
        </w:tc>
      </w:tr>
      <w:tr w:rsidR="00B42032" w:rsidRPr="00A9718D" w:rsidTr="00FB781A">
        <w:tc>
          <w:tcPr>
            <w:tcW w:w="4428" w:type="dxa"/>
          </w:tcPr>
          <w:p w:rsidR="00B42032" w:rsidRPr="00A9718D" w:rsidRDefault="00B42032" w:rsidP="00FB781A">
            <w:pPr>
              <w:pStyle w:val="List"/>
              <w:ind w:left="0" w:firstLine="0"/>
              <w:rPr>
                <w:color w:val="191F1E"/>
                <w:sz w:val="24"/>
                <w:szCs w:val="24"/>
              </w:rPr>
            </w:pPr>
            <w:r w:rsidRPr="00A9718D">
              <w:rPr>
                <w:color w:val="191F1E"/>
                <w:sz w:val="24"/>
                <w:szCs w:val="24"/>
              </w:rPr>
              <w:t>Post Doc/Fellow</w:t>
            </w:r>
          </w:p>
        </w:tc>
        <w:tc>
          <w:tcPr>
            <w:tcW w:w="4590" w:type="dxa"/>
          </w:tcPr>
          <w:p w:rsidR="00B42032" w:rsidRPr="00A9718D" w:rsidRDefault="00B42032" w:rsidP="00FB781A">
            <w:r w:rsidRPr="00A9718D">
              <w:rPr>
                <w:color w:val="191F1E"/>
              </w:rPr>
              <w:t>Shared Office or Cubicle</w:t>
            </w:r>
          </w:p>
        </w:tc>
        <w:tc>
          <w:tcPr>
            <w:tcW w:w="1080" w:type="dxa"/>
          </w:tcPr>
          <w:p w:rsidR="00B42032" w:rsidRPr="00A9718D" w:rsidRDefault="00B42032" w:rsidP="00FB781A">
            <w:pPr>
              <w:pStyle w:val="List"/>
              <w:ind w:left="0" w:firstLine="0"/>
              <w:jc w:val="right"/>
              <w:rPr>
                <w:color w:val="191F1E"/>
                <w:sz w:val="24"/>
                <w:szCs w:val="24"/>
              </w:rPr>
            </w:pPr>
            <w:r w:rsidRPr="00A9718D">
              <w:rPr>
                <w:color w:val="191F1E"/>
                <w:sz w:val="24"/>
                <w:szCs w:val="24"/>
              </w:rPr>
              <w:t>30-64</w:t>
            </w:r>
          </w:p>
        </w:tc>
      </w:tr>
      <w:tr w:rsidR="00B42032" w:rsidRPr="00A9718D" w:rsidTr="00FB781A">
        <w:tc>
          <w:tcPr>
            <w:tcW w:w="4428" w:type="dxa"/>
          </w:tcPr>
          <w:p w:rsidR="00B42032" w:rsidRPr="00A9718D" w:rsidRDefault="00B42032" w:rsidP="00FB781A">
            <w:pPr>
              <w:pStyle w:val="List"/>
              <w:ind w:left="0" w:firstLine="0"/>
              <w:rPr>
                <w:color w:val="191F1E"/>
                <w:sz w:val="24"/>
                <w:szCs w:val="24"/>
              </w:rPr>
            </w:pPr>
            <w:r w:rsidRPr="00A9718D">
              <w:rPr>
                <w:color w:val="191F1E"/>
                <w:sz w:val="24"/>
                <w:szCs w:val="24"/>
              </w:rPr>
              <w:t>Graduate Student</w:t>
            </w:r>
          </w:p>
        </w:tc>
        <w:tc>
          <w:tcPr>
            <w:tcW w:w="4590" w:type="dxa"/>
          </w:tcPr>
          <w:p w:rsidR="00B42032" w:rsidRPr="00A9718D" w:rsidRDefault="00B42032" w:rsidP="00FB781A">
            <w:r w:rsidRPr="00A9718D">
              <w:rPr>
                <w:color w:val="191F1E"/>
              </w:rPr>
              <w:t>Shared Office or Cubicle</w:t>
            </w:r>
          </w:p>
        </w:tc>
        <w:tc>
          <w:tcPr>
            <w:tcW w:w="1080" w:type="dxa"/>
          </w:tcPr>
          <w:p w:rsidR="00B42032" w:rsidRPr="00A9718D" w:rsidRDefault="00B42032" w:rsidP="00FB781A">
            <w:pPr>
              <w:pStyle w:val="List"/>
              <w:ind w:left="0" w:firstLine="0"/>
              <w:jc w:val="right"/>
              <w:rPr>
                <w:color w:val="191F1E"/>
                <w:sz w:val="24"/>
                <w:szCs w:val="24"/>
              </w:rPr>
            </w:pPr>
            <w:r w:rsidRPr="00A9718D">
              <w:rPr>
                <w:color w:val="191F1E"/>
                <w:sz w:val="24"/>
                <w:szCs w:val="24"/>
              </w:rPr>
              <w:t>30-64</w:t>
            </w:r>
          </w:p>
        </w:tc>
      </w:tr>
      <w:tr w:rsidR="00B42032" w:rsidRPr="00A9718D" w:rsidTr="00FB781A">
        <w:tc>
          <w:tcPr>
            <w:tcW w:w="4428" w:type="dxa"/>
          </w:tcPr>
          <w:p w:rsidR="00B42032" w:rsidRPr="00A9718D" w:rsidRDefault="00B42032" w:rsidP="00FB781A">
            <w:pPr>
              <w:pStyle w:val="List"/>
              <w:ind w:left="0" w:firstLine="0"/>
              <w:rPr>
                <w:color w:val="191F1E"/>
                <w:sz w:val="24"/>
                <w:szCs w:val="24"/>
              </w:rPr>
            </w:pPr>
            <w:r w:rsidRPr="00A9718D">
              <w:rPr>
                <w:color w:val="191F1E"/>
                <w:sz w:val="24"/>
                <w:szCs w:val="24"/>
              </w:rPr>
              <w:t>Lab Technician</w:t>
            </w:r>
          </w:p>
        </w:tc>
        <w:tc>
          <w:tcPr>
            <w:tcW w:w="4590" w:type="dxa"/>
          </w:tcPr>
          <w:p w:rsidR="00B42032" w:rsidRPr="00A9718D" w:rsidRDefault="00B42032" w:rsidP="00FB781A">
            <w:r w:rsidRPr="00A9718D">
              <w:rPr>
                <w:color w:val="191F1E"/>
              </w:rPr>
              <w:t>Shared Office or Cubicle</w:t>
            </w:r>
          </w:p>
        </w:tc>
        <w:tc>
          <w:tcPr>
            <w:tcW w:w="1080" w:type="dxa"/>
          </w:tcPr>
          <w:p w:rsidR="00B42032" w:rsidRPr="00A9718D" w:rsidRDefault="00B42032" w:rsidP="00FB781A">
            <w:pPr>
              <w:pStyle w:val="List"/>
              <w:ind w:left="0" w:firstLine="0"/>
              <w:jc w:val="right"/>
              <w:rPr>
                <w:color w:val="191F1E"/>
                <w:sz w:val="24"/>
                <w:szCs w:val="24"/>
              </w:rPr>
            </w:pPr>
            <w:r w:rsidRPr="00A9718D">
              <w:rPr>
                <w:color w:val="191F1E"/>
                <w:sz w:val="24"/>
                <w:szCs w:val="24"/>
              </w:rPr>
              <w:t>30-64</w:t>
            </w:r>
          </w:p>
        </w:tc>
      </w:tr>
      <w:tr w:rsidR="00B42032" w:rsidRPr="00A9718D" w:rsidTr="00FB781A">
        <w:tc>
          <w:tcPr>
            <w:tcW w:w="4428" w:type="dxa"/>
          </w:tcPr>
          <w:p w:rsidR="00B42032" w:rsidRPr="00A9718D" w:rsidRDefault="00B42032" w:rsidP="00FB781A">
            <w:pPr>
              <w:pStyle w:val="List"/>
              <w:ind w:left="0" w:firstLine="0"/>
              <w:rPr>
                <w:color w:val="191F1E"/>
                <w:sz w:val="24"/>
                <w:szCs w:val="24"/>
              </w:rPr>
            </w:pPr>
            <w:r w:rsidRPr="00A9718D">
              <w:rPr>
                <w:color w:val="191F1E"/>
                <w:sz w:val="24"/>
                <w:szCs w:val="24"/>
              </w:rPr>
              <w:t>Chief Resident</w:t>
            </w:r>
          </w:p>
        </w:tc>
        <w:tc>
          <w:tcPr>
            <w:tcW w:w="4590" w:type="dxa"/>
          </w:tcPr>
          <w:p w:rsidR="00B42032" w:rsidRPr="00A9718D" w:rsidRDefault="00B42032" w:rsidP="00FB781A">
            <w:pPr>
              <w:pStyle w:val="List"/>
              <w:ind w:left="0" w:firstLine="0"/>
              <w:rPr>
                <w:color w:val="191F1E"/>
                <w:sz w:val="24"/>
                <w:szCs w:val="24"/>
              </w:rPr>
            </w:pPr>
            <w:r w:rsidRPr="00A9718D">
              <w:rPr>
                <w:color w:val="191F1E"/>
                <w:sz w:val="24"/>
                <w:szCs w:val="24"/>
              </w:rPr>
              <w:t>Private Office</w:t>
            </w:r>
          </w:p>
        </w:tc>
        <w:tc>
          <w:tcPr>
            <w:tcW w:w="1080" w:type="dxa"/>
          </w:tcPr>
          <w:p w:rsidR="00B42032" w:rsidRPr="00A9718D" w:rsidRDefault="00B42032" w:rsidP="00FB781A">
            <w:pPr>
              <w:pStyle w:val="List"/>
              <w:ind w:left="0" w:firstLine="0"/>
              <w:jc w:val="right"/>
              <w:rPr>
                <w:color w:val="191F1E"/>
                <w:sz w:val="24"/>
                <w:szCs w:val="24"/>
              </w:rPr>
            </w:pPr>
            <w:r w:rsidRPr="00A9718D">
              <w:rPr>
                <w:color w:val="191F1E"/>
                <w:sz w:val="24"/>
                <w:szCs w:val="24"/>
              </w:rPr>
              <w:t>60-80</w:t>
            </w:r>
          </w:p>
        </w:tc>
      </w:tr>
      <w:tr w:rsidR="00B42032" w:rsidRPr="00A9718D" w:rsidTr="00FB781A">
        <w:tc>
          <w:tcPr>
            <w:tcW w:w="4428" w:type="dxa"/>
          </w:tcPr>
          <w:p w:rsidR="00B42032" w:rsidRPr="00A9718D" w:rsidRDefault="00B42032" w:rsidP="00FB781A">
            <w:pPr>
              <w:pStyle w:val="List"/>
              <w:ind w:left="0" w:firstLine="0"/>
              <w:rPr>
                <w:color w:val="191F1E"/>
                <w:sz w:val="24"/>
                <w:szCs w:val="24"/>
              </w:rPr>
            </w:pPr>
            <w:r w:rsidRPr="00A9718D">
              <w:rPr>
                <w:color w:val="191F1E"/>
                <w:sz w:val="24"/>
                <w:szCs w:val="24"/>
              </w:rPr>
              <w:t>Staff, Professional (full-time)</w:t>
            </w:r>
          </w:p>
        </w:tc>
        <w:tc>
          <w:tcPr>
            <w:tcW w:w="4590" w:type="dxa"/>
          </w:tcPr>
          <w:p w:rsidR="00B42032" w:rsidRPr="00A9718D" w:rsidRDefault="00B42032" w:rsidP="00FB781A">
            <w:pPr>
              <w:pStyle w:val="List"/>
              <w:ind w:left="0" w:firstLine="0"/>
              <w:rPr>
                <w:color w:val="191F1E"/>
                <w:sz w:val="24"/>
                <w:szCs w:val="24"/>
              </w:rPr>
            </w:pPr>
            <w:r w:rsidRPr="00A9718D">
              <w:rPr>
                <w:color w:val="191F1E"/>
                <w:sz w:val="24"/>
                <w:szCs w:val="24"/>
              </w:rPr>
              <w:t>Private Office, Shared Office, or Cubicle</w:t>
            </w:r>
          </w:p>
        </w:tc>
        <w:tc>
          <w:tcPr>
            <w:tcW w:w="1080" w:type="dxa"/>
          </w:tcPr>
          <w:p w:rsidR="00B42032" w:rsidRPr="00A9718D" w:rsidRDefault="00B42032" w:rsidP="00FB781A">
            <w:pPr>
              <w:pStyle w:val="List"/>
              <w:ind w:left="0" w:firstLine="0"/>
              <w:jc w:val="right"/>
              <w:rPr>
                <w:color w:val="191F1E"/>
                <w:sz w:val="24"/>
                <w:szCs w:val="24"/>
              </w:rPr>
            </w:pPr>
            <w:r w:rsidRPr="00A9718D">
              <w:rPr>
                <w:color w:val="191F1E"/>
                <w:sz w:val="24"/>
                <w:szCs w:val="24"/>
              </w:rPr>
              <w:t>64-100</w:t>
            </w:r>
          </w:p>
        </w:tc>
      </w:tr>
      <w:tr w:rsidR="00B42032" w:rsidRPr="00A9718D" w:rsidTr="00FB781A">
        <w:tc>
          <w:tcPr>
            <w:tcW w:w="4428" w:type="dxa"/>
          </w:tcPr>
          <w:p w:rsidR="00B42032" w:rsidRPr="00A9718D" w:rsidRDefault="00B42032" w:rsidP="00FB781A">
            <w:pPr>
              <w:pStyle w:val="List"/>
              <w:ind w:left="0" w:firstLine="0"/>
              <w:rPr>
                <w:color w:val="191F1E"/>
                <w:sz w:val="24"/>
                <w:szCs w:val="24"/>
              </w:rPr>
            </w:pPr>
            <w:r w:rsidRPr="00A9718D">
              <w:rPr>
                <w:color w:val="191F1E"/>
                <w:sz w:val="24"/>
                <w:szCs w:val="24"/>
              </w:rPr>
              <w:t>Staff, Professional (part-time)</w:t>
            </w:r>
          </w:p>
        </w:tc>
        <w:tc>
          <w:tcPr>
            <w:tcW w:w="4590" w:type="dxa"/>
          </w:tcPr>
          <w:p w:rsidR="00B42032" w:rsidRPr="00A9718D" w:rsidRDefault="00B42032" w:rsidP="00FB781A">
            <w:pPr>
              <w:pStyle w:val="List"/>
              <w:ind w:left="0" w:firstLine="0"/>
              <w:rPr>
                <w:color w:val="191F1E"/>
                <w:sz w:val="24"/>
                <w:szCs w:val="24"/>
              </w:rPr>
            </w:pPr>
            <w:r w:rsidRPr="00A9718D">
              <w:rPr>
                <w:color w:val="191F1E"/>
                <w:sz w:val="24"/>
                <w:szCs w:val="24"/>
              </w:rPr>
              <w:t>Shared Office or Cubicle</w:t>
            </w:r>
          </w:p>
        </w:tc>
        <w:tc>
          <w:tcPr>
            <w:tcW w:w="1080" w:type="dxa"/>
          </w:tcPr>
          <w:p w:rsidR="00B42032" w:rsidRPr="00A9718D" w:rsidRDefault="00B42032" w:rsidP="00FB781A">
            <w:pPr>
              <w:pStyle w:val="List"/>
              <w:ind w:left="0" w:firstLine="0"/>
              <w:jc w:val="right"/>
              <w:rPr>
                <w:color w:val="191F1E"/>
                <w:sz w:val="24"/>
                <w:szCs w:val="24"/>
              </w:rPr>
            </w:pPr>
            <w:r w:rsidRPr="00A9718D">
              <w:rPr>
                <w:color w:val="191F1E"/>
                <w:sz w:val="24"/>
                <w:szCs w:val="24"/>
              </w:rPr>
              <w:t>64-80</w:t>
            </w:r>
          </w:p>
        </w:tc>
      </w:tr>
      <w:tr w:rsidR="00B42032" w:rsidRPr="00A9718D" w:rsidTr="00FB781A">
        <w:tc>
          <w:tcPr>
            <w:tcW w:w="4428" w:type="dxa"/>
          </w:tcPr>
          <w:p w:rsidR="00B42032" w:rsidRPr="00A9718D" w:rsidRDefault="00B42032" w:rsidP="00FB781A">
            <w:pPr>
              <w:pStyle w:val="List"/>
              <w:ind w:left="0" w:firstLine="0"/>
              <w:rPr>
                <w:color w:val="191F1E"/>
                <w:sz w:val="24"/>
                <w:szCs w:val="24"/>
              </w:rPr>
            </w:pPr>
            <w:r w:rsidRPr="00A9718D">
              <w:rPr>
                <w:color w:val="191F1E"/>
                <w:sz w:val="24"/>
                <w:szCs w:val="24"/>
              </w:rPr>
              <w:t>Staff, Administrative Support (full-time)</w:t>
            </w:r>
          </w:p>
        </w:tc>
        <w:tc>
          <w:tcPr>
            <w:tcW w:w="4590" w:type="dxa"/>
          </w:tcPr>
          <w:p w:rsidR="00B42032" w:rsidRPr="00A9718D" w:rsidRDefault="00B42032" w:rsidP="00FB781A">
            <w:r w:rsidRPr="00A9718D">
              <w:rPr>
                <w:color w:val="191F1E"/>
              </w:rPr>
              <w:t>Shared Office or Cubicle</w:t>
            </w:r>
          </w:p>
        </w:tc>
        <w:tc>
          <w:tcPr>
            <w:tcW w:w="1080" w:type="dxa"/>
          </w:tcPr>
          <w:p w:rsidR="00B42032" w:rsidRPr="00A9718D" w:rsidRDefault="00B42032" w:rsidP="00FB781A">
            <w:pPr>
              <w:pStyle w:val="List"/>
              <w:ind w:left="0" w:firstLine="0"/>
              <w:jc w:val="right"/>
              <w:rPr>
                <w:color w:val="191F1E"/>
                <w:sz w:val="24"/>
                <w:szCs w:val="24"/>
              </w:rPr>
            </w:pPr>
            <w:r w:rsidRPr="00A9718D">
              <w:rPr>
                <w:color w:val="191F1E"/>
                <w:sz w:val="24"/>
                <w:szCs w:val="24"/>
              </w:rPr>
              <w:t>64-100</w:t>
            </w:r>
          </w:p>
        </w:tc>
      </w:tr>
      <w:tr w:rsidR="00B42032" w:rsidRPr="00A9718D" w:rsidTr="00FB781A">
        <w:tc>
          <w:tcPr>
            <w:tcW w:w="4428" w:type="dxa"/>
          </w:tcPr>
          <w:p w:rsidR="00B42032" w:rsidRPr="00A9718D" w:rsidRDefault="00B42032" w:rsidP="00FB781A">
            <w:pPr>
              <w:pStyle w:val="List"/>
              <w:ind w:left="0" w:firstLine="0"/>
              <w:rPr>
                <w:color w:val="191F1E"/>
                <w:sz w:val="24"/>
                <w:szCs w:val="24"/>
              </w:rPr>
            </w:pPr>
            <w:r w:rsidRPr="00A9718D">
              <w:rPr>
                <w:color w:val="191F1E"/>
                <w:sz w:val="24"/>
                <w:szCs w:val="24"/>
              </w:rPr>
              <w:t>Staff, Administrative Support (part-time)</w:t>
            </w:r>
          </w:p>
        </w:tc>
        <w:tc>
          <w:tcPr>
            <w:tcW w:w="4590" w:type="dxa"/>
          </w:tcPr>
          <w:p w:rsidR="00B42032" w:rsidRPr="00A9718D" w:rsidRDefault="00B42032" w:rsidP="00FB781A">
            <w:r w:rsidRPr="00A9718D">
              <w:rPr>
                <w:color w:val="191F1E"/>
              </w:rPr>
              <w:t>Shared Office or Cubicle</w:t>
            </w:r>
          </w:p>
        </w:tc>
        <w:tc>
          <w:tcPr>
            <w:tcW w:w="1080" w:type="dxa"/>
          </w:tcPr>
          <w:p w:rsidR="00B42032" w:rsidRPr="00A9718D" w:rsidRDefault="00B42032" w:rsidP="00FB781A">
            <w:pPr>
              <w:pStyle w:val="List"/>
              <w:ind w:left="0" w:firstLine="0"/>
              <w:jc w:val="right"/>
              <w:rPr>
                <w:color w:val="191F1E"/>
                <w:sz w:val="24"/>
                <w:szCs w:val="24"/>
              </w:rPr>
            </w:pPr>
            <w:r w:rsidRPr="00A9718D">
              <w:rPr>
                <w:color w:val="191F1E"/>
                <w:sz w:val="24"/>
                <w:szCs w:val="24"/>
              </w:rPr>
              <w:t>64-80</w:t>
            </w:r>
          </w:p>
        </w:tc>
      </w:tr>
      <w:tr w:rsidR="00B42032" w:rsidRPr="00A9718D" w:rsidTr="00FB781A">
        <w:tc>
          <w:tcPr>
            <w:tcW w:w="4428" w:type="dxa"/>
          </w:tcPr>
          <w:p w:rsidR="00B42032" w:rsidRPr="00A9718D" w:rsidRDefault="00B42032" w:rsidP="00FB781A">
            <w:pPr>
              <w:pStyle w:val="List"/>
              <w:ind w:left="0" w:firstLine="0"/>
              <w:rPr>
                <w:color w:val="191F1E"/>
                <w:sz w:val="24"/>
                <w:szCs w:val="24"/>
              </w:rPr>
            </w:pPr>
            <w:r w:rsidRPr="00A9718D">
              <w:rPr>
                <w:color w:val="191F1E"/>
                <w:sz w:val="24"/>
                <w:szCs w:val="24"/>
              </w:rPr>
              <w:t>Temporary or Student Staff</w:t>
            </w:r>
          </w:p>
        </w:tc>
        <w:tc>
          <w:tcPr>
            <w:tcW w:w="4590" w:type="dxa"/>
          </w:tcPr>
          <w:p w:rsidR="00B42032" w:rsidRPr="00A9718D" w:rsidRDefault="00B42032" w:rsidP="00FB781A">
            <w:pPr>
              <w:rPr>
                <w:color w:val="191F1E"/>
              </w:rPr>
            </w:pPr>
            <w:r w:rsidRPr="00A9718D">
              <w:rPr>
                <w:color w:val="191F1E"/>
              </w:rPr>
              <w:t>Shared Office or Cubicle</w:t>
            </w:r>
          </w:p>
        </w:tc>
        <w:tc>
          <w:tcPr>
            <w:tcW w:w="1080" w:type="dxa"/>
          </w:tcPr>
          <w:p w:rsidR="00B42032" w:rsidRPr="00A9718D" w:rsidRDefault="00B42032" w:rsidP="00FB781A">
            <w:pPr>
              <w:pStyle w:val="List"/>
              <w:ind w:left="0" w:firstLine="0"/>
              <w:jc w:val="right"/>
              <w:rPr>
                <w:color w:val="191F1E"/>
                <w:sz w:val="24"/>
                <w:szCs w:val="24"/>
              </w:rPr>
            </w:pPr>
            <w:r w:rsidRPr="00A9718D">
              <w:rPr>
                <w:color w:val="191F1E"/>
                <w:sz w:val="24"/>
                <w:szCs w:val="24"/>
              </w:rPr>
              <w:t>30-64</w:t>
            </w:r>
          </w:p>
        </w:tc>
      </w:tr>
      <w:tr w:rsidR="00B42032" w:rsidRPr="00A9718D" w:rsidTr="00FB781A">
        <w:tc>
          <w:tcPr>
            <w:tcW w:w="4428" w:type="dxa"/>
          </w:tcPr>
          <w:p w:rsidR="00B42032" w:rsidRPr="00A9718D" w:rsidRDefault="00B42032" w:rsidP="00FB781A">
            <w:pPr>
              <w:pStyle w:val="List"/>
              <w:ind w:left="0" w:firstLine="0"/>
              <w:rPr>
                <w:color w:val="191F1E"/>
                <w:sz w:val="24"/>
                <w:szCs w:val="24"/>
              </w:rPr>
            </w:pPr>
          </w:p>
        </w:tc>
        <w:tc>
          <w:tcPr>
            <w:tcW w:w="4590" w:type="dxa"/>
          </w:tcPr>
          <w:p w:rsidR="00B42032" w:rsidRPr="00A9718D" w:rsidRDefault="00B42032" w:rsidP="00FB781A">
            <w:pPr>
              <w:rPr>
                <w:color w:val="191F1E"/>
              </w:rPr>
            </w:pPr>
          </w:p>
        </w:tc>
        <w:tc>
          <w:tcPr>
            <w:tcW w:w="1080" w:type="dxa"/>
          </w:tcPr>
          <w:p w:rsidR="00B42032" w:rsidRPr="00A9718D" w:rsidRDefault="00B42032" w:rsidP="00FB781A">
            <w:pPr>
              <w:pStyle w:val="List"/>
              <w:ind w:left="0" w:firstLine="0"/>
              <w:jc w:val="right"/>
              <w:rPr>
                <w:color w:val="191F1E"/>
                <w:sz w:val="24"/>
                <w:szCs w:val="24"/>
              </w:rPr>
            </w:pPr>
          </w:p>
        </w:tc>
      </w:tr>
    </w:tbl>
    <w:p w:rsidR="00B42032" w:rsidRPr="00A9718D" w:rsidRDefault="00B42032" w:rsidP="00B42032">
      <w:pPr>
        <w:pBdr>
          <w:top w:val="single" w:sz="4" w:space="0" w:color="auto"/>
          <w:bottom w:val="single" w:sz="4" w:space="1" w:color="auto"/>
        </w:pBdr>
        <w:autoSpaceDE w:val="0"/>
        <w:autoSpaceDN w:val="0"/>
        <w:adjustRightInd w:val="0"/>
        <w:rPr>
          <w:b/>
          <w:bCs/>
        </w:rPr>
      </w:pPr>
      <w:r w:rsidRPr="00A9718D">
        <w:rPr>
          <w:b/>
          <w:bCs/>
        </w:rPr>
        <w:t>ADMINISTRATIVE UNITS</w:t>
      </w:r>
    </w:p>
    <w:tbl>
      <w:tblPr>
        <w:tblW w:w="10000" w:type="dxa"/>
        <w:tblInd w:w="108" w:type="dxa"/>
        <w:tblBorders>
          <w:bottom w:val="single" w:sz="4" w:space="0" w:color="000000"/>
          <w:insideH w:val="single" w:sz="4" w:space="0" w:color="auto"/>
        </w:tblBorders>
        <w:tblLook w:val="04A0" w:firstRow="1" w:lastRow="0" w:firstColumn="1" w:lastColumn="0" w:noHBand="0" w:noVBand="1"/>
      </w:tblPr>
      <w:tblGrid>
        <w:gridCol w:w="4410"/>
        <w:gridCol w:w="4420"/>
        <w:gridCol w:w="1170"/>
      </w:tblGrid>
      <w:tr w:rsidR="00B42032" w:rsidRPr="00A9718D" w:rsidTr="00FB781A">
        <w:tc>
          <w:tcPr>
            <w:tcW w:w="4410" w:type="dxa"/>
            <w:shd w:val="clear" w:color="auto" w:fill="auto"/>
          </w:tcPr>
          <w:p w:rsidR="00B42032" w:rsidRPr="00A9718D" w:rsidRDefault="00B42032" w:rsidP="00FB781A">
            <w:pPr>
              <w:pStyle w:val="List"/>
              <w:ind w:left="0" w:firstLine="0"/>
              <w:rPr>
                <w:color w:val="191F1E"/>
                <w:sz w:val="24"/>
                <w:szCs w:val="24"/>
              </w:rPr>
            </w:pPr>
            <w:r w:rsidRPr="00A9718D">
              <w:rPr>
                <w:color w:val="191F1E"/>
                <w:sz w:val="24"/>
                <w:szCs w:val="24"/>
              </w:rPr>
              <w:t>Dean</w:t>
            </w:r>
          </w:p>
        </w:tc>
        <w:tc>
          <w:tcPr>
            <w:tcW w:w="4420" w:type="dxa"/>
            <w:shd w:val="clear" w:color="auto" w:fill="auto"/>
          </w:tcPr>
          <w:p w:rsidR="00B42032" w:rsidRPr="00A9718D" w:rsidRDefault="00B42032" w:rsidP="00FB781A">
            <w:pPr>
              <w:pStyle w:val="List"/>
              <w:ind w:left="0" w:firstLine="0"/>
              <w:rPr>
                <w:color w:val="191F1E"/>
                <w:sz w:val="24"/>
                <w:szCs w:val="24"/>
              </w:rPr>
            </w:pPr>
            <w:r w:rsidRPr="00A9718D">
              <w:rPr>
                <w:color w:val="191F1E"/>
                <w:sz w:val="24"/>
                <w:szCs w:val="24"/>
              </w:rPr>
              <w:t>Private Office</w:t>
            </w:r>
          </w:p>
        </w:tc>
        <w:tc>
          <w:tcPr>
            <w:tcW w:w="1170" w:type="dxa"/>
            <w:shd w:val="clear" w:color="auto" w:fill="auto"/>
          </w:tcPr>
          <w:p w:rsidR="00B42032" w:rsidRPr="00A9718D" w:rsidRDefault="00B42032" w:rsidP="00FB781A">
            <w:pPr>
              <w:pStyle w:val="List"/>
              <w:ind w:left="0" w:firstLine="0"/>
              <w:jc w:val="right"/>
              <w:rPr>
                <w:sz w:val="24"/>
                <w:szCs w:val="24"/>
              </w:rPr>
            </w:pPr>
            <w:r w:rsidRPr="00A9718D">
              <w:rPr>
                <w:sz w:val="24"/>
                <w:szCs w:val="24"/>
              </w:rPr>
              <w:t>250-350</w:t>
            </w:r>
          </w:p>
        </w:tc>
      </w:tr>
      <w:tr w:rsidR="00B42032" w:rsidRPr="00A9718D" w:rsidTr="00FB781A">
        <w:tc>
          <w:tcPr>
            <w:tcW w:w="4410" w:type="dxa"/>
            <w:shd w:val="clear" w:color="auto" w:fill="auto"/>
          </w:tcPr>
          <w:p w:rsidR="00B42032" w:rsidRPr="00A9718D" w:rsidRDefault="00B42032" w:rsidP="00FB781A">
            <w:pPr>
              <w:pStyle w:val="List"/>
              <w:ind w:left="0" w:firstLine="0"/>
              <w:rPr>
                <w:color w:val="191F1E"/>
                <w:sz w:val="24"/>
                <w:szCs w:val="24"/>
              </w:rPr>
            </w:pPr>
            <w:r w:rsidRPr="00A9718D">
              <w:rPr>
                <w:color w:val="191F1E"/>
                <w:sz w:val="24"/>
                <w:szCs w:val="24"/>
              </w:rPr>
              <w:t>Senior Admin / Chief</w:t>
            </w:r>
          </w:p>
        </w:tc>
        <w:tc>
          <w:tcPr>
            <w:tcW w:w="4420" w:type="dxa"/>
            <w:shd w:val="clear" w:color="auto" w:fill="auto"/>
          </w:tcPr>
          <w:p w:rsidR="00B42032" w:rsidRPr="00A9718D" w:rsidRDefault="00B42032" w:rsidP="00FB781A">
            <w:pPr>
              <w:pStyle w:val="List"/>
              <w:ind w:left="0" w:firstLine="0"/>
              <w:rPr>
                <w:color w:val="191F1E"/>
                <w:sz w:val="24"/>
                <w:szCs w:val="24"/>
              </w:rPr>
            </w:pPr>
            <w:r w:rsidRPr="00A9718D">
              <w:rPr>
                <w:color w:val="191F1E"/>
                <w:sz w:val="24"/>
                <w:szCs w:val="24"/>
              </w:rPr>
              <w:t>Private Office</w:t>
            </w:r>
          </w:p>
        </w:tc>
        <w:tc>
          <w:tcPr>
            <w:tcW w:w="1170" w:type="dxa"/>
            <w:shd w:val="clear" w:color="auto" w:fill="auto"/>
          </w:tcPr>
          <w:p w:rsidR="00B42032" w:rsidRPr="00A9718D" w:rsidRDefault="00B42032" w:rsidP="00FB781A">
            <w:pPr>
              <w:pStyle w:val="List"/>
              <w:ind w:left="0" w:firstLine="0"/>
              <w:jc w:val="right"/>
              <w:rPr>
                <w:sz w:val="24"/>
                <w:szCs w:val="24"/>
              </w:rPr>
            </w:pPr>
            <w:r w:rsidRPr="00A9718D">
              <w:rPr>
                <w:sz w:val="24"/>
                <w:szCs w:val="24"/>
              </w:rPr>
              <w:t>180-220</w:t>
            </w:r>
          </w:p>
        </w:tc>
      </w:tr>
      <w:tr w:rsidR="00B42032" w:rsidRPr="00A9718D" w:rsidTr="00FB781A">
        <w:tc>
          <w:tcPr>
            <w:tcW w:w="4410" w:type="dxa"/>
            <w:shd w:val="clear" w:color="auto" w:fill="auto"/>
          </w:tcPr>
          <w:p w:rsidR="00B42032" w:rsidRPr="00A9718D" w:rsidRDefault="00B42032" w:rsidP="00FB781A">
            <w:pPr>
              <w:pStyle w:val="List"/>
              <w:ind w:left="0" w:firstLine="0"/>
              <w:rPr>
                <w:sz w:val="24"/>
                <w:szCs w:val="24"/>
              </w:rPr>
            </w:pPr>
            <w:r w:rsidRPr="00A9718D">
              <w:rPr>
                <w:color w:val="191F1E"/>
                <w:sz w:val="24"/>
                <w:szCs w:val="24"/>
              </w:rPr>
              <w:t>Assoc</w:t>
            </w:r>
            <w:r w:rsidRPr="00A9718D">
              <w:rPr>
                <w:color w:val="303635"/>
                <w:sz w:val="24"/>
                <w:szCs w:val="24"/>
              </w:rPr>
              <w:t>i</w:t>
            </w:r>
            <w:r w:rsidRPr="00A9718D">
              <w:rPr>
                <w:color w:val="191F1E"/>
                <w:sz w:val="24"/>
                <w:szCs w:val="24"/>
              </w:rPr>
              <w:t>a</w:t>
            </w:r>
            <w:r w:rsidRPr="00A9718D">
              <w:rPr>
                <w:color w:val="050909"/>
                <w:sz w:val="24"/>
                <w:szCs w:val="24"/>
              </w:rPr>
              <w:t>t</w:t>
            </w:r>
            <w:r w:rsidRPr="00A9718D">
              <w:rPr>
                <w:color w:val="191F1E"/>
                <w:sz w:val="24"/>
                <w:szCs w:val="24"/>
              </w:rPr>
              <w:t xml:space="preserve">e or Assistant </w:t>
            </w:r>
            <w:r w:rsidRPr="00A9718D">
              <w:rPr>
                <w:color w:val="050909"/>
                <w:sz w:val="24"/>
                <w:szCs w:val="24"/>
              </w:rPr>
              <w:t xml:space="preserve">Vice </w:t>
            </w:r>
            <w:r w:rsidRPr="00A9718D">
              <w:rPr>
                <w:color w:val="000001"/>
                <w:sz w:val="24"/>
                <w:szCs w:val="24"/>
              </w:rPr>
              <w:t>Pr</w:t>
            </w:r>
            <w:r w:rsidRPr="00A9718D">
              <w:rPr>
                <w:color w:val="050909"/>
                <w:sz w:val="24"/>
                <w:szCs w:val="24"/>
              </w:rPr>
              <w:t>esident</w:t>
            </w:r>
          </w:p>
        </w:tc>
        <w:tc>
          <w:tcPr>
            <w:tcW w:w="4420" w:type="dxa"/>
            <w:shd w:val="clear" w:color="auto" w:fill="auto"/>
          </w:tcPr>
          <w:p w:rsidR="00B42032" w:rsidRPr="00A9718D" w:rsidRDefault="00B42032" w:rsidP="00FB781A">
            <w:pPr>
              <w:pStyle w:val="List"/>
              <w:ind w:left="0" w:firstLine="0"/>
              <w:rPr>
                <w:color w:val="191F1E"/>
                <w:sz w:val="24"/>
                <w:szCs w:val="24"/>
              </w:rPr>
            </w:pPr>
            <w:r w:rsidRPr="00A9718D">
              <w:rPr>
                <w:color w:val="191F1E"/>
                <w:sz w:val="24"/>
                <w:szCs w:val="24"/>
              </w:rPr>
              <w:t>Private Office</w:t>
            </w:r>
          </w:p>
        </w:tc>
        <w:tc>
          <w:tcPr>
            <w:tcW w:w="1170" w:type="dxa"/>
            <w:shd w:val="clear" w:color="auto" w:fill="auto"/>
          </w:tcPr>
          <w:p w:rsidR="00B42032" w:rsidRPr="00A9718D" w:rsidRDefault="00B42032" w:rsidP="00FB781A">
            <w:pPr>
              <w:pStyle w:val="List"/>
              <w:ind w:left="0" w:firstLine="0"/>
              <w:jc w:val="right"/>
              <w:rPr>
                <w:sz w:val="24"/>
                <w:szCs w:val="24"/>
              </w:rPr>
            </w:pPr>
            <w:r w:rsidRPr="00A9718D">
              <w:rPr>
                <w:sz w:val="24"/>
                <w:szCs w:val="24"/>
              </w:rPr>
              <w:t>140-180</w:t>
            </w:r>
          </w:p>
        </w:tc>
      </w:tr>
      <w:tr w:rsidR="00B42032" w:rsidRPr="00A9718D" w:rsidTr="00FB781A">
        <w:tc>
          <w:tcPr>
            <w:tcW w:w="4410" w:type="dxa"/>
            <w:shd w:val="clear" w:color="auto" w:fill="auto"/>
          </w:tcPr>
          <w:p w:rsidR="00B42032" w:rsidRPr="00A9718D" w:rsidRDefault="00B42032" w:rsidP="00FB781A">
            <w:pPr>
              <w:pStyle w:val="List"/>
              <w:ind w:left="0" w:firstLine="0"/>
              <w:rPr>
                <w:color w:val="191F1E"/>
                <w:sz w:val="24"/>
                <w:szCs w:val="24"/>
              </w:rPr>
            </w:pPr>
            <w:r w:rsidRPr="00A9718D">
              <w:rPr>
                <w:color w:val="191F1E"/>
                <w:sz w:val="24"/>
                <w:szCs w:val="24"/>
              </w:rPr>
              <w:t>Director</w:t>
            </w:r>
          </w:p>
        </w:tc>
        <w:tc>
          <w:tcPr>
            <w:tcW w:w="4420" w:type="dxa"/>
            <w:shd w:val="clear" w:color="auto" w:fill="auto"/>
          </w:tcPr>
          <w:p w:rsidR="00B42032" w:rsidRPr="00A9718D" w:rsidRDefault="00B42032" w:rsidP="00FB781A">
            <w:pPr>
              <w:pStyle w:val="List"/>
              <w:ind w:left="0" w:firstLine="0"/>
              <w:rPr>
                <w:color w:val="191F1E"/>
                <w:sz w:val="24"/>
                <w:szCs w:val="24"/>
              </w:rPr>
            </w:pPr>
            <w:r w:rsidRPr="00A9718D">
              <w:rPr>
                <w:color w:val="191F1E"/>
                <w:sz w:val="24"/>
                <w:szCs w:val="24"/>
              </w:rPr>
              <w:t>Private Office</w:t>
            </w:r>
          </w:p>
        </w:tc>
        <w:tc>
          <w:tcPr>
            <w:tcW w:w="1170" w:type="dxa"/>
            <w:shd w:val="clear" w:color="auto" w:fill="auto"/>
          </w:tcPr>
          <w:p w:rsidR="00B42032" w:rsidRPr="00A9718D" w:rsidRDefault="00B42032" w:rsidP="00FB781A">
            <w:pPr>
              <w:pStyle w:val="List"/>
              <w:ind w:left="0" w:firstLine="0"/>
              <w:jc w:val="right"/>
              <w:rPr>
                <w:color w:val="191F1E"/>
                <w:sz w:val="24"/>
                <w:szCs w:val="24"/>
              </w:rPr>
            </w:pPr>
            <w:r w:rsidRPr="00A9718D">
              <w:rPr>
                <w:color w:val="191F1E"/>
                <w:sz w:val="24"/>
                <w:szCs w:val="24"/>
              </w:rPr>
              <w:t>100-160</w:t>
            </w:r>
          </w:p>
        </w:tc>
      </w:tr>
      <w:tr w:rsidR="00B42032" w:rsidRPr="00A9718D" w:rsidTr="00FB781A">
        <w:tc>
          <w:tcPr>
            <w:tcW w:w="4410" w:type="dxa"/>
            <w:shd w:val="clear" w:color="auto" w:fill="auto"/>
          </w:tcPr>
          <w:p w:rsidR="00B42032" w:rsidRPr="00A9718D" w:rsidRDefault="00B42032" w:rsidP="00FB781A">
            <w:pPr>
              <w:pStyle w:val="List"/>
              <w:ind w:left="0" w:firstLine="0"/>
              <w:rPr>
                <w:color w:val="191F1E"/>
                <w:sz w:val="24"/>
                <w:szCs w:val="24"/>
              </w:rPr>
            </w:pPr>
            <w:r w:rsidRPr="00A9718D">
              <w:rPr>
                <w:color w:val="191F1E"/>
                <w:sz w:val="24"/>
                <w:szCs w:val="24"/>
              </w:rPr>
              <w:t>Associate or Assistant Director</w:t>
            </w:r>
          </w:p>
        </w:tc>
        <w:tc>
          <w:tcPr>
            <w:tcW w:w="4420" w:type="dxa"/>
            <w:shd w:val="clear" w:color="auto" w:fill="auto"/>
          </w:tcPr>
          <w:p w:rsidR="00B42032" w:rsidRPr="00A9718D" w:rsidRDefault="00B42032" w:rsidP="00FB781A">
            <w:pPr>
              <w:pStyle w:val="List"/>
              <w:ind w:left="0" w:firstLine="0"/>
              <w:rPr>
                <w:color w:val="191F1E"/>
                <w:sz w:val="24"/>
                <w:szCs w:val="24"/>
              </w:rPr>
            </w:pPr>
            <w:r w:rsidRPr="00A9718D">
              <w:rPr>
                <w:color w:val="191F1E"/>
                <w:sz w:val="24"/>
                <w:szCs w:val="24"/>
              </w:rPr>
              <w:t xml:space="preserve">Private Office </w:t>
            </w:r>
          </w:p>
        </w:tc>
        <w:tc>
          <w:tcPr>
            <w:tcW w:w="1170" w:type="dxa"/>
            <w:shd w:val="clear" w:color="auto" w:fill="auto"/>
          </w:tcPr>
          <w:p w:rsidR="00B42032" w:rsidRPr="00A9718D" w:rsidRDefault="00B42032" w:rsidP="00FB781A">
            <w:pPr>
              <w:pStyle w:val="List"/>
              <w:ind w:left="0" w:firstLine="0"/>
              <w:jc w:val="right"/>
              <w:rPr>
                <w:color w:val="191F1E"/>
                <w:sz w:val="24"/>
                <w:szCs w:val="24"/>
              </w:rPr>
            </w:pPr>
            <w:r w:rsidRPr="00A9718D">
              <w:rPr>
                <w:color w:val="191F1E"/>
                <w:sz w:val="24"/>
                <w:szCs w:val="24"/>
              </w:rPr>
              <w:t>100-140</w:t>
            </w:r>
          </w:p>
        </w:tc>
      </w:tr>
      <w:tr w:rsidR="00B42032" w:rsidRPr="00A9718D" w:rsidTr="00FB781A">
        <w:tc>
          <w:tcPr>
            <w:tcW w:w="4410" w:type="dxa"/>
            <w:shd w:val="clear" w:color="auto" w:fill="auto"/>
          </w:tcPr>
          <w:p w:rsidR="00B42032" w:rsidRPr="00A9718D" w:rsidRDefault="00B42032" w:rsidP="00FB781A">
            <w:pPr>
              <w:pStyle w:val="List"/>
              <w:ind w:left="0" w:firstLine="0"/>
              <w:rPr>
                <w:color w:val="191F1E"/>
                <w:sz w:val="24"/>
                <w:szCs w:val="24"/>
              </w:rPr>
            </w:pPr>
            <w:r w:rsidRPr="00A9718D">
              <w:rPr>
                <w:color w:val="191F1E"/>
                <w:sz w:val="24"/>
                <w:szCs w:val="24"/>
              </w:rPr>
              <w:t>Manager</w:t>
            </w:r>
          </w:p>
        </w:tc>
        <w:tc>
          <w:tcPr>
            <w:tcW w:w="4420" w:type="dxa"/>
            <w:shd w:val="clear" w:color="auto" w:fill="auto"/>
          </w:tcPr>
          <w:p w:rsidR="00B42032" w:rsidRPr="00A9718D" w:rsidRDefault="00B42032" w:rsidP="00FB781A">
            <w:pPr>
              <w:pStyle w:val="List"/>
              <w:ind w:left="0" w:firstLine="0"/>
              <w:rPr>
                <w:color w:val="191F1E"/>
                <w:sz w:val="24"/>
                <w:szCs w:val="24"/>
              </w:rPr>
            </w:pPr>
            <w:r w:rsidRPr="00A9718D">
              <w:rPr>
                <w:color w:val="191F1E"/>
                <w:sz w:val="24"/>
                <w:szCs w:val="24"/>
              </w:rPr>
              <w:t>Private Office, Shared Office, or Cubicle</w:t>
            </w:r>
          </w:p>
        </w:tc>
        <w:tc>
          <w:tcPr>
            <w:tcW w:w="1170" w:type="dxa"/>
            <w:shd w:val="clear" w:color="auto" w:fill="auto"/>
          </w:tcPr>
          <w:p w:rsidR="00B42032" w:rsidRPr="00A9718D" w:rsidRDefault="00B42032" w:rsidP="00FB781A">
            <w:pPr>
              <w:pStyle w:val="List"/>
              <w:ind w:left="0" w:firstLine="0"/>
              <w:jc w:val="right"/>
              <w:rPr>
                <w:color w:val="191F1E"/>
                <w:sz w:val="24"/>
                <w:szCs w:val="24"/>
              </w:rPr>
            </w:pPr>
            <w:r w:rsidRPr="00A9718D">
              <w:rPr>
                <w:color w:val="191F1E"/>
                <w:sz w:val="24"/>
                <w:szCs w:val="24"/>
              </w:rPr>
              <w:t>80-120</w:t>
            </w:r>
          </w:p>
        </w:tc>
      </w:tr>
      <w:tr w:rsidR="00B42032" w:rsidRPr="00A9718D" w:rsidTr="00FB781A">
        <w:tc>
          <w:tcPr>
            <w:tcW w:w="4410" w:type="dxa"/>
            <w:shd w:val="clear" w:color="auto" w:fill="auto"/>
          </w:tcPr>
          <w:p w:rsidR="00B42032" w:rsidRPr="00A9718D" w:rsidRDefault="00B42032" w:rsidP="00FB781A">
            <w:pPr>
              <w:pStyle w:val="List"/>
              <w:ind w:left="0" w:firstLine="0"/>
              <w:rPr>
                <w:color w:val="191F1E"/>
                <w:sz w:val="24"/>
                <w:szCs w:val="24"/>
              </w:rPr>
            </w:pPr>
            <w:r w:rsidRPr="00A9718D">
              <w:rPr>
                <w:color w:val="191F1E"/>
                <w:sz w:val="24"/>
                <w:szCs w:val="24"/>
              </w:rPr>
              <w:t>Staff, Professional (full-time)</w:t>
            </w:r>
          </w:p>
        </w:tc>
        <w:tc>
          <w:tcPr>
            <w:tcW w:w="4420" w:type="dxa"/>
            <w:shd w:val="clear" w:color="auto" w:fill="auto"/>
          </w:tcPr>
          <w:p w:rsidR="00B42032" w:rsidRPr="00A9718D" w:rsidRDefault="00B42032" w:rsidP="00FB781A">
            <w:pPr>
              <w:pStyle w:val="List"/>
              <w:ind w:left="0" w:firstLine="0"/>
              <w:rPr>
                <w:color w:val="191F1E"/>
                <w:sz w:val="24"/>
                <w:szCs w:val="24"/>
              </w:rPr>
            </w:pPr>
            <w:r w:rsidRPr="00A9718D">
              <w:rPr>
                <w:color w:val="191F1E"/>
                <w:sz w:val="24"/>
                <w:szCs w:val="24"/>
              </w:rPr>
              <w:t>Private Office, Shared Office, or Cubicle</w:t>
            </w:r>
          </w:p>
        </w:tc>
        <w:tc>
          <w:tcPr>
            <w:tcW w:w="1170" w:type="dxa"/>
            <w:shd w:val="clear" w:color="auto" w:fill="auto"/>
          </w:tcPr>
          <w:p w:rsidR="00B42032" w:rsidRPr="00A9718D" w:rsidRDefault="00B42032" w:rsidP="00FB781A">
            <w:pPr>
              <w:pStyle w:val="List"/>
              <w:ind w:left="0" w:firstLine="0"/>
              <w:jc w:val="right"/>
              <w:rPr>
                <w:color w:val="191F1E"/>
                <w:sz w:val="24"/>
                <w:szCs w:val="24"/>
              </w:rPr>
            </w:pPr>
            <w:r w:rsidRPr="00A9718D">
              <w:rPr>
                <w:color w:val="191F1E"/>
                <w:sz w:val="24"/>
                <w:szCs w:val="24"/>
              </w:rPr>
              <w:t>64-100</w:t>
            </w:r>
          </w:p>
        </w:tc>
      </w:tr>
      <w:tr w:rsidR="00B42032" w:rsidRPr="00A9718D" w:rsidTr="00FB781A">
        <w:tc>
          <w:tcPr>
            <w:tcW w:w="4410" w:type="dxa"/>
            <w:shd w:val="clear" w:color="auto" w:fill="auto"/>
          </w:tcPr>
          <w:p w:rsidR="00B42032" w:rsidRPr="00A9718D" w:rsidRDefault="00B42032" w:rsidP="00FB781A">
            <w:pPr>
              <w:pStyle w:val="List"/>
              <w:ind w:left="0" w:firstLine="0"/>
              <w:rPr>
                <w:color w:val="191F1E"/>
                <w:sz w:val="24"/>
                <w:szCs w:val="24"/>
              </w:rPr>
            </w:pPr>
            <w:r w:rsidRPr="00A9718D">
              <w:rPr>
                <w:color w:val="191F1E"/>
                <w:sz w:val="24"/>
                <w:szCs w:val="24"/>
              </w:rPr>
              <w:t>Staff, Professional (part-time)</w:t>
            </w:r>
          </w:p>
        </w:tc>
        <w:tc>
          <w:tcPr>
            <w:tcW w:w="4420" w:type="dxa"/>
            <w:shd w:val="clear" w:color="auto" w:fill="auto"/>
          </w:tcPr>
          <w:p w:rsidR="00B42032" w:rsidRPr="00A9718D" w:rsidRDefault="00B42032" w:rsidP="00FB781A">
            <w:pPr>
              <w:pStyle w:val="List"/>
              <w:ind w:left="0" w:firstLine="0"/>
              <w:rPr>
                <w:color w:val="191F1E"/>
                <w:sz w:val="24"/>
                <w:szCs w:val="24"/>
              </w:rPr>
            </w:pPr>
            <w:r w:rsidRPr="00A9718D">
              <w:rPr>
                <w:color w:val="191F1E"/>
                <w:sz w:val="24"/>
                <w:szCs w:val="24"/>
              </w:rPr>
              <w:t>Shared Office or Cubicle</w:t>
            </w:r>
          </w:p>
        </w:tc>
        <w:tc>
          <w:tcPr>
            <w:tcW w:w="1170" w:type="dxa"/>
            <w:shd w:val="clear" w:color="auto" w:fill="auto"/>
          </w:tcPr>
          <w:p w:rsidR="00B42032" w:rsidRPr="00A9718D" w:rsidRDefault="00B42032" w:rsidP="00FB781A">
            <w:pPr>
              <w:pStyle w:val="List"/>
              <w:ind w:left="0" w:firstLine="0"/>
              <w:jc w:val="right"/>
              <w:rPr>
                <w:color w:val="191F1E"/>
                <w:sz w:val="24"/>
                <w:szCs w:val="24"/>
              </w:rPr>
            </w:pPr>
            <w:r w:rsidRPr="00A9718D">
              <w:rPr>
                <w:color w:val="191F1E"/>
                <w:sz w:val="24"/>
                <w:szCs w:val="24"/>
              </w:rPr>
              <w:t>64-80</w:t>
            </w:r>
          </w:p>
        </w:tc>
      </w:tr>
      <w:tr w:rsidR="00B42032" w:rsidRPr="00A9718D" w:rsidTr="00FB781A">
        <w:tc>
          <w:tcPr>
            <w:tcW w:w="4410" w:type="dxa"/>
            <w:shd w:val="clear" w:color="auto" w:fill="auto"/>
          </w:tcPr>
          <w:p w:rsidR="00B42032" w:rsidRPr="00A9718D" w:rsidRDefault="00B42032" w:rsidP="00FB781A">
            <w:pPr>
              <w:pStyle w:val="List"/>
              <w:ind w:left="0" w:firstLine="0"/>
              <w:rPr>
                <w:color w:val="191F1E"/>
                <w:sz w:val="24"/>
                <w:szCs w:val="24"/>
              </w:rPr>
            </w:pPr>
            <w:r w:rsidRPr="00A9718D">
              <w:rPr>
                <w:color w:val="191F1E"/>
                <w:sz w:val="24"/>
                <w:szCs w:val="24"/>
              </w:rPr>
              <w:t>Staff, Administrative Support (full-time)</w:t>
            </w:r>
          </w:p>
        </w:tc>
        <w:tc>
          <w:tcPr>
            <w:tcW w:w="4420" w:type="dxa"/>
            <w:shd w:val="clear" w:color="auto" w:fill="auto"/>
          </w:tcPr>
          <w:p w:rsidR="00B42032" w:rsidRPr="00A9718D" w:rsidRDefault="00B42032" w:rsidP="00FB781A">
            <w:pPr>
              <w:pStyle w:val="List"/>
              <w:ind w:left="0" w:firstLine="0"/>
              <w:rPr>
                <w:color w:val="191F1E"/>
                <w:sz w:val="24"/>
                <w:szCs w:val="24"/>
              </w:rPr>
            </w:pPr>
            <w:r w:rsidRPr="00A9718D">
              <w:rPr>
                <w:color w:val="191F1E"/>
                <w:sz w:val="24"/>
                <w:szCs w:val="24"/>
              </w:rPr>
              <w:t>Shared Office or Cubicle</w:t>
            </w:r>
          </w:p>
        </w:tc>
        <w:tc>
          <w:tcPr>
            <w:tcW w:w="1170" w:type="dxa"/>
            <w:shd w:val="clear" w:color="auto" w:fill="auto"/>
          </w:tcPr>
          <w:p w:rsidR="00B42032" w:rsidRPr="00A9718D" w:rsidRDefault="00B42032" w:rsidP="00FB781A">
            <w:pPr>
              <w:pStyle w:val="List"/>
              <w:ind w:left="0" w:firstLine="0"/>
              <w:jc w:val="right"/>
              <w:rPr>
                <w:color w:val="191F1E"/>
                <w:sz w:val="24"/>
                <w:szCs w:val="24"/>
              </w:rPr>
            </w:pPr>
            <w:r w:rsidRPr="00A9718D">
              <w:rPr>
                <w:color w:val="191F1E"/>
                <w:sz w:val="24"/>
                <w:szCs w:val="24"/>
              </w:rPr>
              <w:t>64-100</w:t>
            </w:r>
          </w:p>
        </w:tc>
      </w:tr>
      <w:tr w:rsidR="00B42032" w:rsidRPr="00A9718D" w:rsidTr="00FB781A">
        <w:tc>
          <w:tcPr>
            <w:tcW w:w="4410" w:type="dxa"/>
            <w:shd w:val="clear" w:color="auto" w:fill="auto"/>
          </w:tcPr>
          <w:p w:rsidR="00B42032" w:rsidRPr="00A9718D" w:rsidRDefault="00B42032" w:rsidP="00FB781A">
            <w:pPr>
              <w:pStyle w:val="List"/>
              <w:ind w:left="0" w:firstLine="0"/>
              <w:rPr>
                <w:color w:val="191F1E"/>
                <w:sz w:val="24"/>
                <w:szCs w:val="24"/>
              </w:rPr>
            </w:pPr>
            <w:r w:rsidRPr="00A9718D">
              <w:rPr>
                <w:color w:val="191F1E"/>
                <w:sz w:val="24"/>
                <w:szCs w:val="24"/>
              </w:rPr>
              <w:t>Staff, Administrative Support (part-time)</w:t>
            </w:r>
          </w:p>
        </w:tc>
        <w:tc>
          <w:tcPr>
            <w:tcW w:w="4420" w:type="dxa"/>
            <w:shd w:val="clear" w:color="auto" w:fill="auto"/>
          </w:tcPr>
          <w:p w:rsidR="00B42032" w:rsidRPr="00A9718D" w:rsidRDefault="00B42032" w:rsidP="00FB781A">
            <w:pPr>
              <w:pStyle w:val="List"/>
              <w:ind w:left="0" w:firstLine="0"/>
              <w:rPr>
                <w:color w:val="191F1E"/>
                <w:sz w:val="24"/>
                <w:szCs w:val="24"/>
              </w:rPr>
            </w:pPr>
            <w:r w:rsidRPr="00A9718D">
              <w:rPr>
                <w:color w:val="191F1E"/>
                <w:sz w:val="24"/>
                <w:szCs w:val="24"/>
              </w:rPr>
              <w:t>Shared Office or Cubicle</w:t>
            </w:r>
          </w:p>
        </w:tc>
        <w:tc>
          <w:tcPr>
            <w:tcW w:w="1170" w:type="dxa"/>
            <w:shd w:val="clear" w:color="auto" w:fill="auto"/>
          </w:tcPr>
          <w:p w:rsidR="00B42032" w:rsidRPr="00A9718D" w:rsidRDefault="00B42032" w:rsidP="00FB781A">
            <w:pPr>
              <w:pStyle w:val="List"/>
              <w:ind w:left="0" w:firstLine="0"/>
              <w:jc w:val="right"/>
              <w:rPr>
                <w:color w:val="191F1E"/>
                <w:sz w:val="24"/>
                <w:szCs w:val="24"/>
              </w:rPr>
            </w:pPr>
            <w:r w:rsidRPr="00A9718D">
              <w:rPr>
                <w:color w:val="191F1E"/>
                <w:sz w:val="24"/>
                <w:szCs w:val="24"/>
              </w:rPr>
              <w:t>64-80</w:t>
            </w:r>
          </w:p>
        </w:tc>
      </w:tr>
      <w:tr w:rsidR="00B42032" w:rsidRPr="00A9718D" w:rsidTr="00FB781A">
        <w:tc>
          <w:tcPr>
            <w:tcW w:w="4410" w:type="dxa"/>
            <w:shd w:val="clear" w:color="auto" w:fill="auto"/>
          </w:tcPr>
          <w:p w:rsidR="00B42032" w:rsidRPr="00A9718D" w:rsidRDefault="00B42032" w:rsidP="00FB781A">
            <w:pPr>
              <w:pStyle w:val="List"/>
              <w:ind w:left="0" w:firstLine="0"/>
              <w:rPr>
                <w:color w:val="191F1E"/>
                <w:sz w:val="24"/>
                <w:szCs w:val="24"/>
              </w:rPr>
            </w:pPr>
            <w:r w:rsidRPr="00A9718D">
              <w:rPr>
                <w:color w:val="191F1E"/>
                <w:sz w:val="24"/>
                <w:szCs w:val="24"/>
              </w:rPr>
              <w:t>Temporary or Student Staff</w:t>
            </w:r>
          </w:p>
        </w:tc>
        <w:tc>
          <w:tcPr>
            <w:tcW w:w="4420" w:type="dxa"/>
            <w:shd w:val="clear" w:color="auto" w:fill="auto"/>
          </w:tcPr>
          <w:p w:rsidR="00B42032" w:rsidRPr="00A9718D" w:rsidRDefault="00B42032" w:rsidP="00FB781A">
            <w:pPr>
              <w:pStyle w:val="List"/>
              <w:ind w:left="0" w:firstLine="0"/>
              <w:rPr>
                <w:color w:val="191F1E"/>
                <w:sz w:val="24"/>
                <w:szCs w:val="24"/>
              </w:rPr>
            </w:pPr>
            <w:r w:rsidRPr="00A9718D">
              <w:rPr>
                <w:color w:val="191F1E"/>
                <w:sz w:val="24"/>
                <w:szCs w:val="24"/>
              </w:rPr>
              <w:t>Shared Office or Cubicle</w:t>
            </w:r>
          </w:p>
        </w:tc>
        <w:tc>
          <w:tcPr>
            <w:tcW w:w="1170" w:type="dxa"/>
            <w:shd w:val="clear" w:color="auto" w:fill="auto"/>
          </w:tcPr>
          <w:p w:rsidR="00B42032" w:rsidRPr="00A9718D" w:rsidRDefault="00B42032" w:rsidP="00FB781A">
            <w:pPr>
              <w:pStyle w:val="List"/>
              <w:ind w:left="0" w:firstLine="0"/>
              <w:jc w:val="right"/>
              <w:rPr>
                <w:color w:val="191F1E"/>
                <w:sz w:val="24"/>
                <w:szCs w:val="24"/>
              </w:rPr>
            </w:pPr>
            <w:r w:rsidRPr="00A9718D">
              <w:rPr>
                <w:color w:val="191F1E"/>
                <w:sz w:val="24"/>
                <w:szCs w:val="24"/>
              </w:rPr>
              <w:t>30-64</w:t>
            </w:r>
          </w:p>
        </w:tc>
      </w:tr>
    </w:tbl>
    <w:p w:rsidR="00B42032" w:rsidRPr="00A9718D" w:rsidRDefault="00B42032" w:rsidP="00B42032">
      <w:pPr>
        <w:autoSpaceDE w:val="0"/>
        <w:autoSpaceDN w:val="0"/>
        <w:adjustRightInd w:val="0"/>
      </w:pPr>
    </w:p>
    <w:p w:rsidR="00B42032" w:rsidRPr="00A9718D" w:rsidRDefault="00B42032" w:rsidP="00B42032">
      <w:pPr>
        <w:pStyle w:val="List"/>
        <w:ind w:left="0" w:firstLine="0"/>
        <w:rPr>
          <w:sz w:val="24"/>
          <w:szCs w:val="24"/>
        </w:rPr>
      </w:pPr>
      <w:r w:rsidRPr="00A9718D">
        <w:rPr>
          <w:sz w:val="24"/>
          <w:szCs w:val="24"/>
        </w:rPr>
        <w:t>Note:</w:t>
      </w:r>
      <w:r w:rsidR="00D625C0">
        <w:rPr>
          <w:sz w:val="24"/>
          <w:szCs w:val="24"/>
        </w:rPr>
        <w:t xml:space="preserve"> </w:t>
      </w:r>
      <w:r w:rsidRPr="00A9718D">
        <w:rPr>
          <w:sz w:val="24"/>
          <w:szCs w:val="24"/>
        </w:rPr>
        <w:t xml:space="preserve">The square footage ranges are provided to accommodate the varying programmatic needs of the various positions across the </w:t>
      </w:r>
      <w:r w:rsidR="00B13BD2" w:rsidRPr="00B13BD2">
        <w:rPr>
          <w:sz w:val="24"/>
          <w:szCs w:val="24"/>
        </w:rPr>
        <w:t>UConn Health</w:t>
      </w:r>
      <w:r w:rsidRPr="00A9718D">
        <w:rPr>
          <w:sz w:val="24"/>
          <w:szCs w:val="24"/>
        </w:rPr>
        <w:t xml:space="preserve"> as well as to take into account the various architectural differences of </w:t>
      </w:r>
      <w:r w:rsidR="00B13BD2" w:rsidRPr="00B13BD2">
        <w:rPr>
          <w:sz w:val="24"/>
          <w:szCs w:val="24"/>
        </w:rPr>
        <w:t>UConn Health</w:t>
      </w:r>
      <w:r w:rsidRPr="00A9718D">
        <w:rPr>
          <w:sz w:val="24"/>
          <w:szCs w:val="24"/>
        </w:rPr>
        <w:t xml:space="preserve"> space.</w:t>
      </w:r>
    </w:p>
    <w:p w:rsidR="00B42032" w:rsidRPr="000510FE" w:rsidRDefault="00B42032" w:rsidP="00B42032">
      <w:pPr>
        <w:pStyle w:val="NormalWeb"/>
        <w:spacing w:before="0" w:beforeAutospacing="0" w:after="0" w:afterAutospacing="0"/>
        <w:contextualSpacing/>
        <w:jc w:val="center"/>
        <w:rPr>
          <w:b/>
        </w:rPr>
      </w:pPr>
      <w:r w:rsidRPr="00A9718D">
        <w:br w:type="page"/>
      </w:r>
      <w:r w:rsidRPr="000510FE">
        <w:rPr>
          <w:b/>
        </w:rPr>
        <w:lastRenderedPageBreak/>
        <w:t>Appendix C</w:t>
      </w:r>
    </w:p>
    <w:p w:rsidR="00B42032" w:rsidRPr="000510FE" w:rsidRDefault="00B42032" w:rsidP="00B42032">
      <w:pPr>
        <w:pStyle w:val="NormalWeb"/>
        <w:spacing w:before="0" w:beforeAutospacing="0" w:after="0" w:afterAutospacing="0"/>
        <w:contextualSpacing/>
        <w:jc w:val="center"/>
        <w:rPr>
          <w:b/>
        </w:rPr>
      </w:pPr>
      <w:r w:rsidRPr="000510FE">
        <w:rPr>
          <w:b/>
        </w:rPr>
        <w:t>Clinical Space Policy</w:t>
      </w:r>
    </w:p>
    <w:p w:rsidR="000F69A7" w:rsidRDefault="00B42032" w:rsidP="00B3610B">
      <w:pPr>
        <w:pStyle w:val="NormalWeb"/>
      </w:pPr>
      <w:r w:rsidRPr="00A9718D">
        <w:t xml:space="preserve">The current allocation of </w:t>
      </w:r>
      <w:r w:rsidR="00A10225">
        <w:t xml:space="preserve">clinical </w:t>
      </w:r>
      <w:r w:rsidRPr="00A9718D">
        <w:t>space will remain constant year to year unless</w:t>
      </w:r>
      <w:r w:rsidR="000F69A7">
        <w:t xml:space="preserve"> </w:t>
      </w:r>
      <w:r w:rsidRPr="00A9718D">
        <w:t xml:space="preserve">additional </w:t>
      </w:r>
      <w:r w:rsidR="000F69A7">
        <w:t xml:space="preserve">clinical </w:t>
      </w:r>
      <w:r w:rsidRPr="00A9718D">
        <w:t>space is leas</w:t>
      </w:r>
      <w:r w:rsidR="000F69A7">
        <w:t>ed, built or converted to clinical space</w:t>
      </w:r>
      <w:r w:rsidR="00B3610B">
        <w:t xml:space="preserve"> by an approved Capital Project or there is a transfer of space between clinical units agreed to by the unit leaders and approved by the SMC.  This applies to all </w:t>
      </w:r>
      <w:r w:rsidRPr="00A9718D">
        <w:t>space allocated to each of the clinical units</w:t>
      </w:r>
      <w:r w:rsidR="000F69A7">
        <w:t xml:space="preserve"> </w:t>
      </w:r>
      <w:r w:rsidR="00B3610B">
        <w:t xml:space="preserve">including </w:t>
      </w:r>
      <w:r w:rsidR="000F69A7">
        <w:t xml:space="preserve">John Dempsey Hospital, </w:t>
      </w:r>
      <w:r w:rsidR="000F69A7" w:rsidRPr="00A9718D">
        <w:t>UConn Medical Group</w:t>
      </w:r>
      <w:r w:rsidR="000F69A7">
        <w:t xml:space="preserve">, </w:t>
      </w:r>
      <w:r w:rsidR="000F69A7" w:rsidRPr="00A9718D">
        <w:t>and the School of D</w:t>
      </w:r>
      <w:r w:rsidR="000F69A7">
        <w:t>ental Medicine faculty practice and teaching clinics</w:t>
      </w:r>
      <w:r w:rsidR="00B3610B">
        <w:t xml:space="preserve">. </w:t>
      </w:r>
      <w:r w:rsidR="000F69A7">
        <w:t xml:space="preserve"> </w:t>
      </w:r>
    </w:p>
    <w:p w:rsidR="00B42032" w:rsidRPr="00A9718D" w:rsidRDefault="00A653C0" w:rsidP="00B42032">
      <w:pPr>
        <w:pStyle w:val="NormalWeb"/>
      </w:pPr>
      <w:r>
        <w:t xml:space="preserve">Clinical space utilization metrics (exam room utilization) shall be considered when new lease space is being requested. </w:t>
      </w:r>
    </w:p>
    <w:p w:rsidR="00B42032" w:rsidRPr="000510FE" w:rsidRDefault="00B42032" w:rsidP="00B42032">
      <w:pPr>
        <w:pStyle w:val="NormalWeb"/>
        <w:spacing w:before="0" w:beforeAutospacing="0" w:after="0" w:afterAutospacing="0"/>
        <w:contextualSpacing/>
        <w:jc w:val="center"/>
        <w:rPr>
          <w:b/>
        </w:rPr>
      </w:pPr>
      <w:r w:rsidRPr="00A9718D">
        <w:br w:type="page"/>
      </w:r>
      <w:r w:rsidRPr="000510FE">
        <w:rPr>
          <w:b/>
        </w:rPr>
        <w:lastRenderedPageBreak/>
        <w:t>Appendix D</w:t>
      </w:r>
    </w:p>
    <w:p w:rsidR="00B42032" w:rsidRPr="00A9718D" w:rsidRDefault="00B42032" w:rsidP="00B42032">
      <w:pPr>
        <w:pStyle w:val="NormalWeb"/>
        <w:jc w:val="center"/>
      </w:pPr>
      <w:r w:rsidRPr="00A9718D">
        <w:t>Policy on Classroom/Auditorium, Public Lobby and Conference Room Space</w:t>
      </w:r>
    </w:p>
    <w:p w:rsidR="00B42032" w:rsidRPr="00A9718D" w:rsidRDefault="00B42032" w:rsidP="00B42032">
      <w:pPr>
        <w:numPr>
          <w:ilvl w:val="0"/>
          <w:numId w:val="1"/>
        </w:numPr>
      </w:pPr>
      <w:r w:rsidRPr="00A9718D">
        <w:t>Definitions</w:t>
      </w:r>
    </w:p>
    <w:p w:rsidR="00B42032" w:rsidRPr="00A9718D" w:rsidRDefault="00B42032" w:rsidP="00B42032"/>
    <w:p w:rsidR="00B42032" w:rsidRPr="00A9718D" w:rsidRDefault="00B42032" w:rsidP="00B42032">
      <w:pPr>
        <w:numPr>
          <w:ilvl w:val="1"/>
          <w:numId w:val="1"/>
        </w:numPr>
        <w:tabs>
          <w:tab w:val="clear" w:pos="1080"/>
        </w:tabs>
        <w:ind w:left="720"/>
      </w:pPr>
      <w:r w:rsidRPr="00A9718D">
        <w:t>Classrooms/auditoria are spaces primarily intended for conducting formal educational sessions.</w:t>
      </w:r>
    </w:p>
    <w:p w:rsidR="00B42032" w:rsidRPr="00A9718D" w:rsidRDefault="00B42032" w:rsidP="00B42032"/>
    <w:p w:rsidR="00B42032" w:rsidRPr="00A9718D" w:rsidRDefault="00B42032" w:rsidP="00B42032">
      <w:pPr>
        <w:numPr>
          <w:ilvl w:val="1"/>
          <w:numId w:val="1"/>
        </w:numPr>
        <w:tabs>
          <w:tab w:val="clear" w:pos="1080"/>
        </w:tabs>
        <w:ind w:left="720"/>
      </w:pPr>
      <w:r w:rsidRPr="00A9718D">
        <w:t>Conference rooms are spaces primarily intended for meetings of 8 people or more, but at times may be used as workrooms or for educational sessions.</w:t>
      </w:r>
    </w:p>
    <w:p w:rsidR="00B42032" w:rsidRPr="00A9718D" w:rsidRDefault="00B42032" w:rsidP="00B42032">
      <w:pPr>
        <w:ind w:left="720"/>
      </w:pPr>
    </w:p>
    <w:p w:rsidR="00B42032" w:rsidRPr="00A9718D" w:rsidRDefault="00B42032" w:rsidP="00B42032">
      <w:pPr>
        <w:numPr>
          <w:ilvl w:val="1"/>
          <w:numId w:val="1"/>
        </w:numPr>
        <w:tabs>
          <w:tab w:val="clear" w:pos="1080"/>
        </w:tabs>
        <w:ind w:left="720"/>
      </w:pPr>
      <w:r w:rsidRPr="00A9718D">
        <w:t>Special capabilities – unique attributes of a classroom/auditorium and conference room that make them unique when compared to other such rooms. These unique characteristics may include the presence of specialize audio-visual equipment, computers and/or computer network ports or wireless access points, distance learning equipment, VIP décor/view, proximity to kitchen facilities, etc.</w:t>
      </w:r>
    </w:p>
    <w:p w:rsidR="00B42032" w:rsidRPr="00A9718D" w:rsidRDefault="00B42032" w:rsidP="00B42032">
      <w:pPr>
        <w:ind w:left="720"/>
      </w:pPr>
    </w:p>
    <w:p w:rsidR="00B42032" w:rsidRPr="00A9718D" w:rsidRDefault="00B42032" w:rsidP="00B42032">
      <w:pPr>
        <w:numPr>
          <w:ilvl w:val="1"/>
          <w:numId w:val="1"/>
        </w:numPr>
        <w:tabs>
          <w:tab w:val="clear" w:pos="1080"/>
        </w:tabs>
        <w:ind w:left="720"/>
      </w:pPr>
      <w:r w:rsidRPr="00A9718D">
        <w:t>Special health, safety and security concerns – unique attributes of a classroom/auditorium and conference room, or access way to such a room, that may make it unsuitable for use by members of the public (for example a corridor running through a wet lab or cadaver dissection labs, or a room with an unlocked interior door providing access to such labs, equipment or sensitive information storage).</w:t>
      </w:r>
    </w:p>
    <w:p w:rsidR="00B42032" w:rsidRPr="00A9718D" w:rsidRDefault="00B42032" w:rsidP="00B42032">
      <w:pPr>
        <w:ind w:left="720"/>
      </w:pPr>
    </w:p>
    <w:p w:rsidR="00B42032" w:rsidRPr="00A9718D" w:rsidRDefault="00B42032" w:rsidP="00B42032">
      <w:pPr>
        <w:numPr>
          <w:ilvl w:val="1"/>
          <w:numId w:val="1"/>
        </w:numPr>
        <w:tabs>
          <w:tab w:val="clear" w:pos="1080"/>
        </w:tabs>
        <w:ind w:left="720"/>
      </w:pPr>
      <w:r w:rsidRPr="00A9718D">
        <w:t>Room specific use policies – unique policies related to a specific room governing issues such as the consumption of food &amp; beverages, use of the AV/computer equipment in the room, or similar matters.</w:t>
      </w:r>
    </w:p>
    <w:p w:rsidR="00B42032" w:rsidRPr="00A9718D" w:rsidRDefault="00B42032" w:rsidP="00B42032">
      <w:pPr>
        <w:ind w:left="720"/>
      </w:pPr>
    </w:p>
    <w:p w:rsidR="00B42032" w:rsidRPr="00A9718D" w:rsidRDefault="00B42032" w:rsidP="00B42032">
      <w:pPr>
        <w:numPr>
          <w:ilvl w:val="1"/>
          <w:numId w:val="1"/>
        </w:numPr>
        <w:tabs>
          <w:tab w:val="clear" w:pos="1080"/>
        </w:tabs>
        <w:ind w:left="720"/>
      </w:pPr>
      <w:r w:rsidRPr="00A9718D">
        <w:t>Public lobbies are corridors, halls or ante-rooms connected with a larger room or series of rooms intended for use as a passageway or waiting area by members of the public:</w:t>
      </w:r>
    </w:p>
    <w:p w:rsidR="00B42032" w:rsidRPr="00A9718D" w:rsidRDefault="00B42032" w:rsidP="00B42032"/>
    <w:p w:rsidR="00B42032" w:rsidRPr="00A9718D" w:rsidRDefault="00B42032" w:rsidP="00B42032">
      <w:pPr>
        <w:numPr>
          <w:ilvl w:val="0"/>
          <w:numId w:val="1"/>
        </w:numPr>
      </w:pPr>
      <w:r w:rsidRPr="00A9718D">
        <w:t>Database</w:t>
      </w:r>
    </w:p>
    <w:p w:rsidR="00B42032" w:rsidRPr="00A9718D" w:rsidRDefault="00B42032" w:rsidP="00B42032"/>
    <w:p w:rsidR="00B42032" w:rsidRPr="00A9718D" w:rsidRDefault="00B42032" w:rsidP="00B42032">
      <w:pPr>
        <w:pStyle w:val="BodyTextIndent"/>
        <w:numPr>
          <w:ilvl w:val="1"/>
          <w:numId w:val="1"/>
        </w:numPr>
        <w:tabs>
          <w:tab w:val="clear" w:pos="1080"/>
        </w:tabs>
        <w:spacing w:after="0"/>
        <w:ind w:left="720"/>
        <w:rPr>
          <w:sz w:val="24"/>
          <w:szCs w:val="24"/>
        </w:rPr>
      </w:pPr>
      <w:r w:rsidRPr="00A9718D">
        <w:rPr>
          <w:sz w:val="24"/>
          <w:szCs w:val="24"/>
        </w:rPr>
        <w:t>An inventory will be developed and maintained by the Campus Planning, Design &amp; Construction (CPDC) unit of all classroom/auditorium, public lobbies and conference room space. This inventory will include the seating capacity, square footage, special health, safety and security concerns, room specific use policies and a listing of all “special capabilities” of each room.</w:t>
      </w:r>
    </w:p>
    <w:p w:rsidR="00B42032" w:rsidRPr="00A9718D" w:rsidRDefault="00B42032" w:rsidP="00B42032">
      <w:pPr>
        <w:pStyle w:val="BodyTextIndent"/>
        <w:spacing w:after="0"/>
        <w:ind w:left="720"/>
        <w:rPr>
          <w:sz w:val="24"/>
          <w:szCs w:val="24"/>
        </w:rPr>
      </w:pPr>
    </w:p>
    <w:p w:rsidR="00B42032" w:rsidRPr="00A9718D" w:rsidRDefault="00B42032" w:rsidP="00B42032">
      <w:pPr>
        <w:pStyle w:val="BodyTextIndent"/>
        <w:numPr>
          <w:ilvl w:val="1"/>
          <w:numId w:val="1"/>
        </w:numPr>
        <w:tabs>
          <w:tab w:val="clear" w:pos="1080"/>
        </w:tabs>
        <w:spacing w:after="0"/>
        <w:ind w:left="720"/>
        <w:rPr>
          <w:sz w:val="24"/>
          <w:szCs w:val="24"/>
        </w:rPr>
      </w:pPr>
      <w:r w:rsidRPr="00A9718D">
        <w:rPr>
          <w:sz w:val="24"/>
          <w:szCs w:val="24"/>
        </w:rPr>
        <w:t>The Space Management Committee will resolve any disputes over the definition of classroom/auditorium, public lobbies and conference room spaces (i.e. inclusion or exclusion in this inventory) designation of special health, safety and security concerns, or designation of special capabilities assigned to such spaces.</w:t>
      </w:r>
    </w:p>
    <w:p w:rsidR="00B42032" w:rsidRPr="00A9718D" w:rsidRDefault="00B42032" w:rsidP="00B42032">
      <w:pPr>
        <w:pStyle w:val="BodyTextIndent"/>
        <w:ind w:left="720"/>
        <w:rPr>
          <w:sz w:val="24"/>
          <w:szCs w:val="24"/>
        </w:rPr>
      </w:pPr>
    </w:p>
    <w:p w:rsidR="00B42032" w:rsidRPr="00A9718D" w:rsidRDefault="00B42032" w:rsidP="00B42032">
      <w:pPr>
        <w:pStyle w:val="BodyTextIndent"/>
        <w:numPr>
          <w:ilvl w:val="1"/>
          <w:numId w:val="1"/>
        </w:numPr>
        <w:tabs>
          <w:tab w:val="clear" w:pos="1080"/>
        </w:tabs>
        <w:spacing w:after="0"/>
        <w:ind w:left="720"/>
        <w:rPr>
          <w:sz w:val="24"/>
          <w:szCs w:val="24"/>
        </w:rPr>
      </w:pPr>
      <w:r w:rsidRPr="00A9718D">
        <w:rPr>
          <w:sz w:val="24"/>
          <w:szCs w:val="24"/>
        </w:rPr>
        <w:t>This database will b</w:t>
      </w:r>
      <w:r w:rsidR="005A114A">
        <w:rPr>
          <w:sz w:val="24"/>
          <w:szCs w:val="24"/>
        </w:rPr>
        <w:t xml:space="preserve">e made available on-line to authorized individuals </w:t>
      </w:r>
      <w:r w:rsidRPr="00A9718D">
        <w:rPr>
          <w:sz w:val="24"/>
          <w:szCs w:val="24"/>
        </w:rPr>
        <w:t xml:space="preserve">over the </w:t>
      </w:r>
      <w:r w:rsidR="002F04AE">
        <w:rPr>
          <w:sz w:val="24"/>
          <w:szCs w:val="24"/>
        </w:rPr>
        <w:t>UCH</w:t>
      </w:r>
      <w:r w:rsidRPr="00A9718D">
        <w:rPr>
          <w:sz w:val="24"/>
          <w:szCs w:val="24"/>
        </w:rPr>
        <w:t xml:space="preserve"> intranet.</w:t>
      </w:r>
    </w:p>
    <w:p w:rsidR="00B42032" w:rsidRPr="00A9718D" w:rsidRDefault="00B42032" w:rsidP="00B42032">
      <w:pPr>
        <w:pStyle w:val="BodyTextIndent"/>
        <w:rPr>
          <w:sz w:val="24"/>
          <w:szCs w:val="24"/>
        </w:rPr>
      </w:pPr>
    </w:p>
    <w:p w:rsidR="00B42032" w:rsidRPr="00A9718D" w:rsidRDefault="00B42032" w:rsidP="00B42032">
      <w:pPr>
        <w:numPr>
          <w:ilvl w:val="0"/>
          <w:numId w:val="1"/>
        </w:numPr>
      </w:pPr>
      <w:r w:rsidRPr="00A9718D">
        <w:t>Jurisdiction over space</w:t>
      </w:r>
    </w:p>
    <w:p w:rsidR="00B42032" w:rsidRPr="00A9718D" w:rsidRDefault="00B42032" w:rsidP="00B42032"/>
    <w:p w:rsidR="00B42032" w:rsidRPr="00A9718D" w:rsidRDefault="00B42032" w:rsidP="00B42032">
      <w:pPr>
        <w:pStyle w:val="BodyTextIndent"/>
        <w:numPr>
          <w:ilvl w:val="1"/>
          <w:numId w:val="1"/>
        </w:numPr>
        <w:tabs>
          <w:tab w:val="clear" w:pos="1080"/>
        </w:tabs>
        <w:spacing w:after="0"/>
        <w:ind w:left="720"/>
        <w:rPr>
          <w:sz w:val="24"/>
          <w:szCs w:val="24"/>
        </w:rPr>
      </w:pPr>
      <w:r w:rsidRPr="00A9718D">
        <w:rPr>
          <w:sz w:val="24"/>
          <w:szCs w:val="24"/>
        </w:rPr>
        <w:t xml:space="preserve">All auditorium, public lobbies and conference room spaces are under the jurisdiction of the </w:t>
      </w:r>
      <w:r w:rsidR="00823D3C">
        <w:rPr>
          <w:sz w:val="24"/>
          <w:szCs w:val="24"/>
        </w:rPr>
        <w:t>Executive Vice President for Health</w:t>
      </w:r>
      <w:r w:rsidRPr="00A9718D">
        <w:rPr>
          <w:sz w:val="24"/>
          <w:szCs w:val="24"/>
        </w:rPr>
        <w:t xml:space="preserve"> Affairs</w:t>
      </w:r>
      <w:r w:rsidR="005A114A">
        <w:rPr>
          <w:sz w:val="24"/>
          <w:szCs w:val="24"/>
        </w:rPr>
        <w:t xml:space="preserve"> or their designee</w:t>
      </w:r>
      <w:r w:rsidRPr="00A9718D">
        <w:rPr>
          <w:sz w:val="24"/>
          <w:szCs w:val="24"/>
        </w:rPr>
        <w:t xml:space="preserve">. </w:t>
      </w:r>
    </w:p>
    <w:p w:rsidR="00B42032" w:rsidRPr="00A9718D" w:rsidRDefault="00B42032" w:rsidP="00B42032">
      <w:pPr>
        <w:ind w:left="720"/>
      </w:pPr>
    </w:p>
    <w:p w:rsidR="00B42032" w:rsidRPr="00A9718D" w:rsidRDefault="00B42032" w:rsidP="00B42032">
      <w:pPr>
        <w:pStyle w:val="BodyTextIndent"/>
        <w:numPr>
          <w:ilvl w:val="1"/>
          <w:numId w:val="1"/>
        </w:numPr>
        <w:tabs>
          <w:tab w:val="clear" w:pos="1080"/>
        </w:tabs>
        <w:spacing w:after="0"/>
        <w:ind w:left="720"/>
        <w:rPr>
          <w:sz w:val="24"/>
          <w:szCs w:val="24"/>
        </w:rPr>
      </w:pPr>
      <w:r w:rsidRPr="00A9718D">
        <w:rPr>
          <w:sz w:val="24"/>
          <w:szCs w:val="24"/>
        </w:rPr>
        <w:t xml:space="preserve">The </w:t>
      </w:r>
      <w:r w:rsidR="00823D3C">
        <w:rPr>
          <w:sz w:val="24"/>
          <w:szCs w:val="24"/>
        </w:rPr>
        <w:t>Executive Vice President for Health</w:t>
      </w:r>
      <w:r w:rsidRPr="00A9718D">
        <w:rPr>
          <w:sz w:val="24"/>
          <w:szCs w:val="24"/>
        </w:rPr>
        <w:t xml:space="preserve"> Affairs </w:t>
      </w:r>
      <w:r w:rsidR="005A114A">
        <w:rPr>
          <w:sz w:val="24"/>
          <w:szCs w:val="24"/>
        </w:rPr>
        <w:t xml:space="preserve">or their designee </w:t>
      </w:r>
      <w:r w:rsidRPr="00A9718D">
        <w:rPr>
          <w:sz w:val="24"/>
          <w:szCs w:val="24"/>
        </w:rPr>
        <w:t>will assign either a single primary user or two co-primary users to each auditorium, conference room or public lobby. These primary users will have the authority to schedule activities within the designated spaces.</w:t>
      </w:r>
    </w:p>
    <w:p w:rsidR="00B42032" w:rsidRPr="00A9718D" w:rsidRDefault="00B42032" w:rsidP="00B42032">
      <w:pPr>
        <w:pStyle w:val="BodyTextIndent"/>
        <w:ind w:left="720"/>
        <w:rPr>
          <w:sz w:val="24"/>
          <w:szCs w:val="24"/>
        </w:rPr>
      </w:pPr>
    </w:p>
    <w:p w:rsidR="00B42032" w:rsidRPr="00A9718D" w:rsidRDefault="00B42032" w:rsidP="00B42032">
      <w:pPr>
        <w:pStyle w:val="BodyTextIndent"/>
        <w:numPr>
          <w:ilvl w:val="1"/>
          <w:numId w:val="1"/>
        </w:numPr>
        <w:tabs>
          <w:tab w:val="clear" w:pos="1080"/>
        </w:tabs>
        <w:spacing w:after="0"/>
        <w:ind w:left="720"/>
        <w:rPr>
          <w:sz w:val="24"/>
          <w:szCs w:val="24"/>
        </w:rPr>
      </w:pPr>
      <w:r w:rsidRPr="00A9718D">
        <w:rPr>
          <w:sz w:val="24"/>
          <w:szCs w:val="24"/>
        </w:rPr>
        <w:t xml:space="preserve">The </w:t>
      </w:r>
      <w:r w:rsidR="00823D3C">
        <w:rPr>
          <w:sz w:val="24"/>
          <w:szCs w:val="24"/>
        </w:rPr>
        <w:t>Executive Vice President for Health</w:t>
      </w:r>
      <w:r w:rsidRPr="00A9718D">
        <w:rPr>
          <w:sz w:val="24"/>
          <w:szCs w:val="24"/>
        </w:rPr>
        <w:t xml:space="preserve"> Affairs </w:t>
      </w:r>
      <w:r w:rsidR="005A114A">
        <w:rPr>
          <w:sz w:val="24"/>
          <w:szCs w:val="24"/>
        </w:rPr>
        <w:t xml:space="preserve">may reassign jurisdiction over </w:t>
      </w:r>
      <w:r w:rsidRPr="00A9718D">
        <w:rPr>
          <w:sz w:val="24"/>
          <w:szCs w:val="24"/>
        </w:rPr>
        <w:t xml:space="preserve">auditorium, conference rooms or public lobbies whenever </w:t>
      </w:r>
      <w:r w:rsidR="002F04AE">
        <w:rPr>
          <w:sz w:val="24"/>
          <w:szCs w:val="24"/>
        </w:rPr>
        <w:t>they feel it</w:t>
      </w:r>
      <w:r w:rsidRPr="00A9718D">
        <w:rPr>
          <w:sz w:val="24"/>
          <w:szCs w:val="24"/>
        </w:rPr>
        <w:t xml:space="preserve"> is necessary.</w:t>
      </w:r>
    </w:p>
    <w:p w:rsidR="00B42032" w:rsidRPr="00A9718D" w:rsidRDefault="00B42032" w:rsidP="00B42032">
      <w:pPr>
        <w:pStyle w:val="BodyTextIndent"/>
        <w:spacing w:after="0"/>
        <w:ind w:left="720"/>
        <w:rPr>
          <w:sz w:val="24"/>
          <w:szCs w:val="24"/>
        </w:rPr>
      </w:pPr>
    </w:p>
    <w:p w:rsidR="00B42032" w:rsidRPr="00A9718D" w:rsidRDefault="00B42032" w:rsidP="00B42032">
      <w:pPr>
        <w:numPr>
          <w:ilvl w:val="0"/>
          <w:numId w:val="1"/>
        </w:numPr>
      </w:pPr>
      <w:r w:rsidRPr="00A9718D">
        <w:t>Scheduling of Space</w:t>
      </w:r>
    </w:p>
    <w:p w:rsidR="00B42032" w:rsidRPr="00A9718D" w:rsidRDefault="00B42032" w:rsidP="00B42032"/>
    <w:p w:rsidR="00B42032" w:rsidRPr="00A9718D" w:rsidRDefault="002F04AE" w:rsidP="00B42032">
      <w:pPr>
        <w:pStyle w:val="BodyTextIndent"/>
        <w:numPr>
          <w:ilvl w:val="1"/>
          <w:numId w:val="1"/>
        </w:numPr>
        <w:tabs>
          <w:tab w:val="clear" w:pos="1080"/>
        </w:tabs>
        <w:spacing w:after="0"/>
        <w:ind w:left="720"/>
        <w:rPr>
          <w:sz w:val="24"/>
          <w:szCs w:val="24"/>
        </w:rPr>
      </w:pPr>
      <w:r>
        <w:rPr>
          <w:sz w:val="24"/>
          <w:szCs w:val="24"/>
        </w:rPr>
        <w:t>The Parking, Transportation and Events Management department</w:t>
      </w:r>
      <w:r w:rsidR="00B42032" w:rsidRPr="00A9718D">
        <w:rPr>
          <w:sz w:val="24"/>
          <w:szCs w:val="24"/>
        </w:rPr>
        <w:t xml:space="preserve"> will maintain on-line calendaring system for classroom/auditoria, conference rooms and public lobbies. This system will be accessible to </w:t>
      </w:r>
      <w:r>
        <w:rPr>
          <w:sz w:val="24"/>
          <w:szCs w:val="24"/>
        </w:rPr>
        <w:t xml:space="preserve">the </w:t>
      </w:r>
      <w:r w:rsidR="00823D3C">
        <w:rPr>
          <w:sz w:val="24"/>
          <w:szCs w:val="24"/>
        </w:rPr>
        <w:t>UConn Health</w:t>
      </w:r>
      <w:r w:rsidR="00B42032" w:rsidRPr="00A9718D">
        <w:rPr>
          <w:sz w:val="24"/>
          <w:szCs w:val="24"/>
        </w:rPr>
        <w:t xml:space="preserve"> community and will display the scheduled use of each classroom, conference room, auditoria and public lobby. It will also display each room’s attributes (ex/ number of seats), special capabilities, and contact information for the person(s) authorized to schedule the room.</w:t>
      </w:r>
    </w:p>
    <w:p w:rsidR="00B42032" w:rsidRPr="00A9718D" w:rsidRDefault="00B42032" w:rsidP="00B42032">
      <w:pPr>
        <w:ind w:left="720"/>
      </w:pPr>
    </w:p>
    <w:p w:rsidR="00B42032" w:rsidRPr="00A9718D" w:rsidRDefault="00B42032" w:rsidP="00B42032">
      <w:pPr>
        <w:pStyle w:val="BodyTextIndent"/>
        <w:numPr>
          <w:ilvl w:val="1"/>
          <w:numId w:val="1"/>
        </w:numPr>
        <w:tabs>
          <w:tab w:val="clear" w:pos="1080"/>
        </w:tabs>
        <w:spacing w:after="0"/>
        <w:ind w:left="720"/>
        <w:rPr>
          <w:sz w:val="24"/>
          <w:szCs w:val="24"/>
        </w:rPr>
      </w:pPr>
      <w:r w:rsidRPr="00A9718D">
        <w:rPr>
          <w:sz w:val="24"/>
          <w:szCs w:val="24"/>
        </w:rPr>
        <w:t>Requests to schedule classrooms/auditoria and conference rooms must be directed to those designated with authority over that space.  Any scheduled use of these spaces should be immediately posted on the calendar described in item (a) above. Write-access to this calendaring system will be restricted to those parties authorized to schedule each specific space.</w:t>
      </w:r>
    </w:p>
    <w:p w:rsidR="00B42032" w:rsidRPr="00A9718D" w:rsidRDefault="00B42032" w:rsidP="00B42032">
      <w:pPr>
        <w:pStyle w:val="BodyTextIndent"/>
        <w:ind w:left="720"/>
        <w:rPr>
          <w:sz w:val="24"/>
          <w:szCs w:val="24"/>
        </w:rPr>
      </w:pPr>
    </w:p>
    <w:p w:rsidR="00B42032" w:rsidRPr="00A9718D" w:rsidRDefault="00B42032" w:rsidP="00B42032">
      <w:pPr>
        <w:pStyle w:val="BodyTextIndent"/>
        <w:numPr>
          <w:ilvl w:val="1"/>
          <w:numId w:val="1"/>
        </w:numPr>
        <w:tabs>
          <w:tab w:val="clear" w:pos="1080"/>
        </w:tabs>
        <w:spacing w:after="0"/>
        <w:ind w:left="720"/>
        <w:rPr>
          <w:sz w:val="24"/>
          <w:szCs w:val="24"/>
        </w:rPr>
      </w:pPr>
      <w:r w:rsidRPr="00A9718D">
        <w:rPr>
          <w:sz w:val="24"/>
          <w:szCs w:val="24"/>
        </w:rPr>
        <w:t xml:space="preserve">Requests to schedule classrooms/auditoria, conference rooms or public lobbies may only be made by </w:t>
      </w:r>
      <w:r w:rsidR="002F04AE" w:rsidRPr="002F04AE">
        <w:rPr>
          <w:sz w:val="24"/>
          <w:szCs w:val="24"/>
        </w:rPr>
        <w:t>UConn Health</w:t>
      </w:r>
      <w:r w:rsidRPr="00A9718D">
        <w:rPr>
          <w:sz w:val="24"/>
          <w:szCs w:val="24"/>
        </w:rPr>
        <w:t xml:space="preserve"> units (departments and divisions, but not as individuals). Non-</w:t>
      </w:r>
      <w:r w:rsidR="002F04AE">
        <w:rPr>
          <w:sz w:val="24"/>
          <w:szCs w:val="24"/>
        </w:rPr>
        <w:t>UConn Health</w:t>
      </w:r>
      <w:r w:rsidRPr="00A9718D">
        <w:rPr>
          <w:sz w:val="24"/>
          <w:szCs w:val="24"/>
        </w:rPr>
        <w:t xml:space="preserve"> units will need a Health Center sponsor to schedule space.</w:t>
      </w:r>
    </w:p>
    <w:p w:rsidR="00B42032" w:rsidRPr="00A9718D" w:rsidRDefault="00B42032" w:rsidP="00B42032">
      <w:pPr>
        <w:pStyle w:val="BodyTextIndent"/>
        <w:ind w:left="720"/>
        <w:rPr>
          <w:sz w:val="24"/>
          <w:szCs w:val="24"/>
        </w:rPr>
      </w:pPr>
    </w:p>
    <w:p w:rsidR="00B42032" w:rsidRPr="00A9718D" w:rsidRDefault="00B42032" w:rsidP="00B42032">
      <w:pPr>
        <w:pStyle w:val="BodyTextIndent"/>
        <w:numPr>
          <w:ilvl w:val="1"/>
          <w:numId w:val="1"/>
        </w:numPr>
        <w:tabs>
          <w:tab w:val="clear" w:pos="1080"/>
        </w:tabs>
        <w:spacing w:after="0"/>
        <w:ind w:left="720"/>
        <w:rPr>
          <w:sz w:val="24"/>
          <w:szCs w:val="24"/>
        </w:rPr>
      </w:pPr>
      <w:r w:rsidRPr="00A9718D">
        <w:rPr>
          <w:sz w:val="24"/>
          <w:szCs w:val="24"/>
        </w:rPr>
        <w:t xml:space="preserve">When </w:t>
      </w:r>
      <w:r w:rsidR="00823D3C">
        <w:rPr>
          <w:sz w:val="24"/>
          <w:szCs w:val="24"/>
        </w:rPr>
        <w:t>UConn Health</w:t>
      </w:r>
      <w:r w:rsidRPr="00A9718D">
        <w:rPr>
          <w:sz w:val="24"/>
          <w:szCs w:val="24"/>
        </w:rPr>
        <w:t xml:space="preserve"> or its clinical units are under emergency operational status, all spaces may be allocated or reallocated by the Hospital </w:t>
      </w:r>
      <w:r w:rsidR="002F04AE">
        <w:rPr>
          <w:sz w:val="24"/>
          <w:szCs w:val="24"/>
        </w:rPr>
        <w:t>COO</w:t>
      </w:r>
      <w:r w:rsidRPr="00A9718D">
        <w:rPr>
          <w:sz w:val="24"/>
          <w:szCs w:val="24"/>
        </w:rPr>
        <w:t xml:space="preserve">, </w:t>
      </w:r>
      <w:r w:rsidR="002F04AE">
        <w:rPr>
          <w:sz w:val="24"/>
          <w:szCs w:val="24"/>
        </w:rPr>
        <w:t xml:space="preserve">the </w:t>
      </w:r>
      <w:r w:rsidR="00823D3C">
        <w:rPr>
          <w:sz w:val="24"/>
          <w:szCs w:val="24"/>
        </w:rPr>
        <w:t>Executive Vice President for Health</w:t>
      </w:r>
      <w:r w:rsidRPr="00A9718D">
        <w:rPr>
          <w:sz w:val="24"/>
          <w:szCs w:val="24"/>
        </w:rPr>
        <w:t xml:space="preserve"> Affairs, and/o</w:t>
      </w:r>
      <w:r w:rsidR="002F04AE">
        <w:rPr>
          <w:sz w:val="24"/>
          <w:szCs w:val="24"/>
        </w:rPr>
        <w:t>r</w:t>
      </w:r>
      <w:r w:rsidRPr="00A9718D">
        <w:rPr>
          <w:sz w:val="24"/>
          <w:szCs w:val="24"/>
        </w:rPr>
        <w:t xml:space="preserve"> their designees.</w:t>
      </w:r>
    </w:p>
    <w:p w:rsidR="00B42032" w:rsidRPr="00A9718D" w:rsidRDefault="00B42032" w:rsidP="00B42032">
      <w:pPr>
        <w:pStyle w:val="BodyTextIndent"/>
        <w:ind w:left="720"/>
        <w:rPr>
          <w:sz w:val="24"/>
          <w:szCs w:val="24"/>
        </w:rPr>
      </w:pPr>
    </w:p>
    <w:p w:rsidR="00B42032" w:rsidRPr="00A9718D" w:rsidRDefault="002F04AE" w:rsidP="00B42032">
      <w:pPr>
        <w:numPr>
          <w:ilvl w:val="0"/>
          <w:numId w:val="1"/>
        </w:numPr>
      </w:pPr>
      <w:r>
        <w:t>Scheduling Protocol</w:t>
      </w:r>
      <w:r w:rsidR="00B42032" w:rsidRPr="00A9718D">
        <w:t xml:space="preserve"> for Classroom/Auditoria, Conference Rooms and Public Lobbies </w:t>
      </w:r>
    </w:p>
    <w:p w:rsidR="00B42032" w:rsidRPr="00A9718D" w:rsidRDefault="00B42032" w:rsidP="00B42032"/>
    <w:p w:rsidR="00B42032" w:rsidRPr="002F04AE" w:rsidRDefault="00B42032" w:rsidP="00876856">
      <w:pPr>
        <w:pStyle w:val="BodyTextIndent"/>
        <w:numPr>
          <w:ilvl w:val="1"/>
          <w:numId w:val="1"/>
        </w:numPr>
        <w:tabs>
          <w:tab w:val="clear" w:pos="1080"/>
        </w:tabs>
        <w:spacing w:after="0"/>
        <w:ind w:left="720"/>
        <w:rPr>
          <w:sz w:val="24"/>
          <w:szCs w:val="24"/>
        </w:rPr>
      </w:pPr>
      <w:r w:rsidRPr="002F04AE">
        <w:rPr>
          <w:sz w:val="24"/>
          <w:szCs w:val="24"/>
        </w:rPr>
        <w:t xml:space="preserve">When scheduling or using space, units are responsible for doing so professionally and for considering the need for </w:t>
      </w:r>
      <w:r w:rsidR="00823D3C" w:rsidRPr="002F04AE">
        <w:rPr>
          <w:sz w:val="24"/>
          <w:szCs w:val="24"/>
        </w:rPr>
        <w:t>UConn Health</w:t>
      </w:r>
      <w:r w:rsidRPr="002F04AE">
        <w:rPr>
          <w:sz w:val="24"/>
          <w:szCs w:val="24"/>
        </w:rPr>
        <w:t xml:space="preserve"> to use its space efficiently and effectively. This includes (but is not limited) to:</w:t>
      </w:r>
    </w:p>
    <w:p w:rsidR="00B42032" w:rsidRPr="00A9718D" w:rsidRDefault="00B42032" w:rsidP="00B42032">
      <w:pPr>
        <w:numPr>
          <w:ilvl w:val="2"/>
          <w:numId w:val="1"/>
        </w:numPr>
        <w:tabs>
          <w:tab w:val="clear" w:pos="1980"/>
        </w:tabs>
        <w:ind w:left="1080"/>
      </w:pPr>
      <w:r w:rsidRPr="00A9718D">
        <w:t>not excessively booking tentative dates in advance.</w:t>
      </w:r>
    </w:p>
    <w:p w:rsidR="00B42032" w:rsidRPr="00A9718D" w:rsidRDefault="00B42032" w:rsidP="00B42032">
      <w:pPr>
        <w:numPr>
          <w:ilvl w:val="2"/>
          <w:numId w:val="1"/>
        </w:numPr>
        <w:tabs>
          <w:tab w:val="clear" w:pos="1980"/>
        </w:tabs>
        <w:ind w:left="1080"/>
      </w:pPr>
      <w:r w:rsidRPr="00A9718D">
        <w:t>releasing tentative dates as early as possible.</w:t>
      </w:r>
    </w:p>
    <w:p w:rsidR="00B42032" w:rsidRPr="00A9718D" w:rsidRDefault="00B42032" w:rsidP="00B42032">
      <w:pPr>
        <w:numPr>
          <w:ilvl w:val="2"/>
          <w:numId w:val="1"/>
        </w:numPr>
        <w:tabs>
          <w:tab w:val="clear" w:pos="1980"/>
        </w:tabs>
        <w:ind w:left="1080"/>
      </w:pPr>
      <w:r w:rsidRPr="00A9718D">
        <w:t>booking rooms of a seating capacity appropriate to the intended audience.</w:t>
      </w:r>
    </w:p>
    <w:p w:rsidR="00B42032" w:rsidRPr="00A9718D" w:rsidRDefault="00B42032" w:rsidP="00B42032">
      <w:pPr>
        <w:numPr>
          <w:ilvl w:val="2"/>
          <w:numId w:val="1"/>
        </w:numPr>
        <w:tabs>
          <w:tab w:val="clear" w:pos="1980"/>
        </w:tabs>
        <w:ind w:left="1080"/>
      </w:pPr>
      <w:r w:rsidRPr="00A9718D">
        <w:t>booking rooms with special capabilities only if such capabilities are required for such events.</w:t>
      </w:r>
    </w:p>
    <w:p w:rsidR="00B42032" w:rsidRPr="00A9718D" w:rsidRDefault="00B42032" w:rsidP="00B42032">
      <w:pPr>
        <w:numPr>
          <w:ilvl w:val="2"/>
          <w:numId w:val="1"/>
        </w:numPr>
        <w:tabs>
          <w:tab w:val="clear" w:pos="1980"/>
        </w:tabs>
        <w:ind w:left="1080"/>
      </w:pPr>
      <w:r w:rsidRPr="00A9718D">
        <w:t>minimizing the use of study-space conference rooms for other purposes such as meetings (i.e. these rooms are primarily intended for classes and studying and not meetings.).</w:t>
      </w:r>
    </w:p>
    <w:p w:rsidR="00B42032" w:rsidRPr="00A9718D" w:rsidRDefault="00B42032" w:rsidP="00B42032">
      <w:pPr>
        <w:numPr>
          <w:ilvl w:val="2"/>
          <w:numId w:val="1"/>
        </w:numPr>
        <w:tabs>
          <w:tab w:val="clear" w:pos="1980"/>
        </w:tabs>
        <w:ind w:left="1080"/>
      </w:pPr>
      <w:r w:rsidRPr="00A9718D">
        <w:t>ensuring that the rooms use are appropriately cleaned and left undamaged and that any audio-visual equipment, computers, stored equipment, files, books and/or journals are not damaged or lost.</w:t>
      </w:r>
    </w:p>
    <w:p w:rsidR="00B42032" w:rsidRPr="00A9718D" w:rsidRDefault="00B42032" w:rsidP="00B42032">
      <w:pPr>
        <w:numPr>
          <w:ilvl w:val="2"/>
          <w:numId w:val="1"/>
        </w:numPr>
        <w:tabs>
          <w:tab w:val="clear" w:pos="1980"/>
        </w:tabs>
        <w:ind w:left="1080"/>
      </w:pPr>
      <w:r w:rsidRPr="00A9718D">
        <w:t>leaving spaces on time so they are available to subsequent users.</w:t>
      </w:r>
    </w:p>
    <w:p w:rsidR="00B42032" w:rsidRPr="00A9718D" w:rsidRDefault="00B42032" w:rsidP="00B42032">
      <w:pPr>
        <w:numPr>
          <w:ilvl w:val="2"/>
          <w:numId w:val="1"/>
        </w:numPr>
        <w:tabs>
          <w:tab w:val="clear" w:pos="1980"/>
        </w:tabs>
        <w:ind w:left="1080"/>
      </w:pPr>
      <w:r w:rsidRPr="00A9718D">
        <w:t>ensuring rooms are being used for legitimate purposes</w:t>
      </w:r>
    </w:p>
    <w:p w:rsidR="00B42032" w:rsidRPr="00A9718D" w:rsidRDefault="00B42032" w:rsidP="00B42032"/>
    <w:p w:rsidR="00B42032" w:rsidRPr="00A9718D" w:rsidRDefault="00B42032" w:rsidP="00B42032">
      <w:pPr>
        <w:pStyle w:val="BodyTextIndent"/>
        <w:numPr>
          <w:ilvl w:val="1"/>
          <w:numId w:val="1"/>
        </w:numPr>
        <w:tabs>
          <w:tab w:val="clear" w:pos="1080"/>
        </w:tabs>
        <w:spacing w:after="0"/>
        <w:ind w:left="720"/>
        <w:rPr>
          <w:sz w:val="24"/>
          <w:szCs w:val="24"/>
        </w:rPr>
      </w:pPr>
      <w:r w:rsidRPr="00A9718D">
        <w:rPr>
          <w:sz w:val="24"/>
          <w:szCs w:val="24"/>
        </w:rPr>
        <w:lastRenderedPageBreak/>
        <w:t xml:space="preserve">Failure to comply with the </w:t>
      </w:r>
      <w:r w:rsidR="002F04AE">
        <w:rPr>
          <w:sz w:val="24"/>
          <w:szCs w:val="24"/>
        </w:rPr>
        <w:t>Scheduling Protocol</w:t>
      </w:r>
      <w:r w:rsidRPr="00A9718D">
        <w:rPr>
          <w:sz w:val="24"/>
          <w:szCs w:val="24"/>
        </w:rPr>
        <w:t xml:space="preserve"> may result in restrictions being placed on the unit’s ability to reserve space in the future, to have scheduled space reallocated, for progressive discipline to be employed when individual(s) violate this policy, and/or other sanctions on the offending unit. The Space Management Committee would impose such restrictions. Violations of the </w:t>
      </w:r>
      <w:r w:rsidR="002F04AE">
        <w:rPr>
          <w:sz w:val="24"/>
          <w:szCs w:val="24"/>
        </w:rPr>
        <w:t>Scheduling Protocol</w:t>
      </w:r>
      <w:r w:rsidRPr="00A9718D">
        <w:rPr>
          <w:sz w:val="24"/>
          <w:szCs w:val="24"/>
        </w:rPr>
        <w:t xml:space="preserve"> should be reported to the chair of the Space Management Committee is writing.</w:t>
      </w:r>
    </w:p>
    <w:p w:rsidR="00B42032" w:rsidRPr="00A9718D" w:rsidRDefault="00B42032" w:rsidP="00B42032"/>
    <w:p w:rsidR="00F83F59" w:rsidRPr="005A114A" w:rsidRDefault="00F83F59" w:rsidP="00F83F59">
      <w:pPr>
        <w:numPr>
          <w:ilvl w:val="0"/>
          <w:numId w:val="1"/>
        </w:numPr>
      </w:pPr>
      <w:r w:rsidRPr="005A114A">
        <w:t>In those cases where conference rooms contain digital audio-visual equipment (such as computers, computer network ports/Internet, video projectors/projection screens, document cameras, and video recorders), the primary user of the space should</w:t>
      </w:r>
      <w:r>
        <w:t>,</w:t>
      </w:r>
      <w:r w:rsidRPr="005A114A">
        <w:t xml:space="preserve"> </w:t>
      </w:r>
      <w:r>
        <w:t xml:space="preserve">in consultation with the IT Department, </w:t>
      </w:r>
      <w:r w:rsidRPr="005A114A">
        <w:t xml:space="preserve">make recommendations and/or attempt to obtain funding for standardizing the audio-visual equipment, computers and computer network access in </w:t>
      </w:r>
      <w:r>
        <w:t xml:space="preserve">conference rooms and </w:t>
      </w:r>
      <w:r w:rsidRPr="005A114A">
        <w:t>auditorium</w:t>
      </w:r>
      <w:r>
        <w:t>s</w:t>
      </w:r>
      <w:r w:rsidRPr="005A114A">
        <w:t xml:space="preserve">. </w:t>
      </w:r>
      <w:r w:rsidR="00B95F6C">
        <w:t xml:space="preserve">The primary users shall arrange for </w:t>
      </w:r>
      <w:r w:rsidRPr="005A114A">
        <w:t>support services for such equipment as well</w:t>
      </w:r>
      <w:r w:rsidR="00B95F6C">
        <w:t xml:space="preserve"> </w:t>
      </w:r>
      <w:r w:rsidRPr="005A114A">
        <w:t>develop and maintain current, printed instructions for the use of such equipment and post such instructions in the room.</w:t>
      </w:r>
    </w:p>
    <w:sectPr w:rsidR="00F83F59" w:rsidRPr="005A114A" w:rsidSect="00C9425A">
      <w:footerReference w:type="even" r:id="rId13"/>
      <w:footerReference w:type="default" r:id="rId14"/>
      <w:footerReference w:type="first" r:id="rId15"/>
      <w:pgSz w:w="12240" w:h="15840"/>
      <w:pgMar w:top="1152" w:right="1080" w:bottom="1152" w:left="108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359" w:rsidRDefault="00FB3359" w:rsidP="002E1164">
      <w:r>
        <w:separator/>
      </w:r>
    </w:p>
  </w:endnote>
  <w:endnote w:type="continuationSeparator" w:id="0">
    <w:p w:rsidR="00FB3359" w:rsidRDefault="00FB3359" w:rsidP="002E1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71D" w:rsidRDefault="00A160E6">
    <w:pPr>
      <w:pStyle w:val="Footer"/>
      <w:framePr w:wrap="around" w:vAnchor="text" w:hAnchor="margin" w:xAlign="center" w:y="1"/>
      <w:rPr>
        <w:rStyle w:val="PageNumber"/>
      </w:rPr>
    </w:pPr>
    <w:r>
      <w:rPr>
        <w:rStyle w:val="PageNumber"/>
      </w:rPr>
      <w:fldChar w:fldCharType="begin"/>
    </w:r>
    <w:r w:rsidR="0049783B">
      <w:rPr>
        <w:rStyle w:val="PageNumber"/>
      </w:rPr>
      <w:instrText xml:space="preserve">PAGE  </w:instrText>
    </w:r>
    <w:r>
      <w:rPr>
        <w:rStyle w:val="PageNumber"/>
      </w:rPr>
      <w:fldChar w:fldCharType="end"/>
    </w:r>
  </w:p>
  <w:p w:rsidR="0010171D" w:rsidRDefault="00A93C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71D" w:rsidRDefault="00A93C9E" w:rsidP="002A090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34D8" w:rsidRDefault="00A93C9E" w:rsidP="00E134D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359" w:rsidRDefault="00FB3359" w:rsidP="002E1164">
      <w:r>
        <w:separator/>
      </w:r>
    </w:p>
  </w:footnote>
  <w:footnote w:type="continuationSeparator" w:id="0">
    <w:p w:rsidR="00FB3359" w:rsidRDefault="00FB3359" w:rsidP="002E1164">
      <w:r>
        <w:continuationSeparator/>
      </w:r>
    </w:p>
  </w:footnote>
  <w:footnote w:id="1">
    <w:p w:rsidR="008E34BB" w:rsidRDefault="008E34BB">
      <w:pPr>
        <w:pStyle w:val="FootnoteText"/>
      </w:pPr>
      <w:r>
        <w:rPr>
          <w:rStyle w:val="FootnoteReference"/>
        </w:rPr>
        <w:footnoteRef/>
      </w:r>
      <w:r>
        <w:t xml:space="preserve"> If this position is vacant, the EVP of Health Affairs shall designate an alternate Chairperson</w:t>
      </w:r>
    </w:p>
  </w:footnote>
  <w:footnote w:id="2">
    <w:p w:rsidR="00D559DD" w:rsidRDefault="00D559DD" w:rsidP="00D559DD">
      <w:pPr>
        <w:pStyle w:val="FootnoteText"/>
      </w:pPr>
      <w:r>
        <w:rPr>
          <w:rStyle w:val="FootnoteReference"/>
        </w:rPr>
        <w:footnoteRef/>
      </w:r>
      <w:r>
        <w:t xml:space="preserve"> If one person holds the positions of VP for </w:t>
      </w:r>
      <w:r w:rsidRPr="00246B0C">
        <w:t>Health Affairs</w:t>
      </w:r>
      <w:r>
        <w:rPr>
          <w:rFonts w:ascii="Verdana" w:hAnsi="Verdana"/>
        </w:rPr>
        <w:t xml:space="preserve"> </w:t>
      </w:r>
      <w:r>
        <w:t>and Dean of the SoM or SODM, then the Dean for Academic Affairs and Education from that School will fill this seat on the SMC.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AA7"/>
    <w:multiLevelType w:val="hybridMultilevel"/>
    <w:tmpl w:val="766815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D1A02"/>
    <w:multiLevelType w:val="hybridMultilevel"/>
    <w:tmpl w:val="D60045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87F4F"/>
    <w:multiLevelType w:val="hybridMultilevel"/>
    <w:tmpl w:val="BF5CB128"/>
    <w:lvl w:ilvl="0" w:tplc="C8C6CCBE">
      <w:start w:val="1"/>
      <w:numFmt w:val="bullet"/>
      <w:lvlText w:val=""/>
      <w:lvlJc w:val="left"/>
      <w:pPr>
        <w:tabs>
          <w:tab w:val="num" w:pos="720"/>
        </w:tabs>
        <w:ind w:left="720" w:hanging="360"/>
      </w:pPr>
      <w:rPr>
        <w:rFonts w:ascii="Symbol" w:hAnsi="Symbol" w:hint="default"/>
        <w:sz w:val="20"/>
      </w:rPr>
    </w:lvl>
    <w:lvl w:ilvl="1" w:tplc="0A525512" w:tentative="1">
      <w:start w:val="1"/>
      <w:numFmt w:val="bullet"/>
      <w:lvlText w:val="o"/>
      <w:lvlJc w:val="left"/>
      <w:pPr>
        <w:tabs>
          <w:tab w:val="num" w:pos="1440"/>
        </w:tabs>
        <w:ind w:left="1440" w:hanging="360"/>
      </w:pPr>
      <w:rPr>
        <w:rFonts w:ascii="Courier New" w:hAnsi="Courier New" w:hint="default"/>
        <w:sz w:val="20"/>
      </w:rPr>
    </w:lvl>
    <w:lvl w:ilvl="2" w:tplc="2A5456EA" w:tentative="1">
      <w:start w:val="1"/>
      <w:numFmt w:val="bullet"/>
      <w:lvlText w:val=""/>
      <w:lvlJc w:val="left"/>
      <w:pPr>
        <w:tabs>
          <w:tab w:val="num" w:pos="2160"/>
        </w:tabs>
        <w:ind w:left="2160" w:hanging="360"/>
      </w:pPr>
      <w:rPr>
        <w:rFonts w:ascii="Wingdings" w:hAnsi="Wingdings" w:hint="default"/>
        <w:sz w:val="20"/>
      </w:rPr>
    </w:lvl>
    <w:lvl w:ilvl="3" w:tplc="E0A831D0" w:tentative="1">
      <w:start w:val="1"/>
      <w:numFmt w:val="bullet"/>
      <w:lvlText w:val=""/>
      <w:lvlJc w:val="left"/>
      <w:pPr>
        <w:tabs>
          <w:tab w:val="num" w:pos="2880"/>
        </w:tabs>
        <w:ind w:left="2880" w:hanging="360"/>
      </w:pPr>
      <w:rPr>
        <w:rFonts w:ascii="Wingdings" w:hAnsi="Wingdings" w:hint="default"/>
        <w:sz w:val="20"/>
      </w:rPr>
    </w:lvl>
    <w:lvl w:ilvl="4" w:tplc="6AE09C8E" w:tentative="1">
      <w:start w:val="1"/>
      <w:numFmt w:val="bullet"/>
      <w:lvlText w:val=""/>
      <w:lvlJc w:val="left"/>
      <w:pPr>
        <w:tabs>
          <w:tab w:val="num" w:pos="3600"/>
        </w:tabs>
        <w:ind w:left="3600" w:hanging="360"/>
      </w:pPr>
      <w:rPr>
        <w:rFonts w:ascii="Wingdings" w:hAnsi="Wingdings" w:hint="default"/>
        <w:sz w:val="20"/>
      </w:rPr>
    </w:lvl>
    <w:lvl w:ilvl="5" w:tplc="7640E748" w:tentative="1">
      <w:start w:val="1"/>
      <w:numFmt w:val="bullet"/>
      <w:lvlText w:val=""/>
      <w:lvlJc w:val="left"/>
      <w:pPr>
        <w:tabs>
          <w:tab w:val="num" w:pos="4320"/>
        </w:tabs>
        <w:ind w:left="4320" w:hanging="360"/>
      </w:pPr>
      <w:rPr>
        <w:rFonts w:ascii="Wingdings" w:hAnsi="Wingdings" w:hint="default"/>
        <w:sz w:val="20"/>
      </w:rPr>
    </w:lvl>
    <w:lvl w:ilvl="6" w:tplc="725003F0" w:tentative="1">
      <w:start w:val="1"/>
      <w:numFmt w:val="bullet"/>
      <w:lvlText w:val=""/>
      <w:lvlJc w:val="left"/>
      <w:pPr>
        <w:tabs>
          <w:tab w:val="num" w:pos="5040"/>
        </w:tabs>
        <w:ind w:left="5040" w:hanging="360"/>
      </w:pPr>
      <w:rPr>
        <w:rFonts w:ascii="Wingdings" w:hAnsi="Wingdings" w:hint="default"/>
        <w:sz w:val="20"/>
      </w:rPr>
    </w:lvl>
    <w:lvl w:ilvl="7" w:tplc="45D6879C" w:tentative="1">
      <w:start w:val="1"/>
      <w:numFmt w:val="bullet"/>
      <w:lvlText w:val=""/>
      <w:lvlJc w:val="left"/>
      <w:pPr>
        <w:tabs>
          <w:tab w:val="num" w:pos="5760"/>
        </w:tabs>
        <w:ind w:left="5760" w:hanging="360"/>
      </w:pPr>
      <w:rPr>
        <w:rFonts w:ascii="Wingdings" w:hAnsi="Wingdings" w:hint="default"/>
        <w:sz w:val="20"/>
      </w:rPr>
    </w:lvl>
    <w:lvl w:ilvl="8" w:tplc="E9C848BC"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6159F"/>
    <w:multiLevelType w:val="hybridMultilevel"/>
    <w:tmpl w:val="DD745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24688"/>
    <w:multiLevelType w:val="hybridMultilevel"/>
    <w:tmpl w:val="4372D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4C772E"/>
    <w:multiLevelType w:val="hybridMultilevel"/>
    <w:tmpl w:val="D60045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8E386A"/>
    <w:multiLevelType w:val="hybridMultilevel"/>
    <w:tmpl w:val="D07A6DD4"/>
    <w:lvl w:ilvl="0" w:tplc="EAF42CD2">
      <w:start w:val="1"/>
      <w:numFmt w:val="bullet"/>
      <w:lvlText w:val=""/>
      <w:lvlJc w:val="left"/>
      <w:pPr>
        <w:tabs>
          <w:tab w:val="num" w:pos="720"/>
        </w:tabs>
        <w:ind w:left="720" w:hanging="360"/>
      </w:pPr>
      <w:rPr>
        <w:rFonts w:ascii="Symbol" w:hAnsi="Symbol" w:hint="default"/>
        <w:sz w:val="20"/>
      </w:rPr>
    </w:lvl>
    <w:lvl w:ilvl="1" w:tplc="FAD41DF2" w:tentative="1">
      <w:start w:val="1"/>
      <w:numFmt w:val="bullet"/>
      <w:lvlText w:val="o"/>
      <w:lvlJc w:val="left"/>
      <w:pPr>
        <w:tabs>
          <w:tab w:val="num" w:pos="1440"/>
        </w:tabs>
        <w:ind w:left="1440" w:hanging="360"/>
      </w:pPr>
      <w:rPr>
        <w:rFonts w:ascii="Courier New" w:hAnsi="Courier New" w:hint="default"/>
        <w:sz w:val="20"/>
      </w:rPr>
    </w:lvl>
    <w:lvl w:ilvl="2" w:tplc="3878BAA0" w:tentative="1">
      <w:start w:val="1"/>
      <w:numFmt w:val="bullet"/>
      <w:lvlText w:val=""/>
      <w:lvlJc w:val="left"/>
      <w:pPr>
        <w:tabs>
          <w:tab w:val="num" w:pos="2160"/>
        </w:tabs>
        <w:ind w:left="2160" w:hanging="360"/>
      </w:pPr>
      <w:rPr>
        <w:rFonts w:ascii="Wingdings" w:hAnsi="Wingdings" w:hint="default"/>
        <w:sz w:val="20"/>
      </w:rPr>
    </w:lvl>
    <w:lvl w:ilvl="3" w:tplc="FBEC384E" w:tentative="1">
      <w:start w:val="1"/>
      <w:numFmt w:val="bullet"/>
      <w:lvlText w:val=""/>
      <w:lvlJc w:val="left"/>
      <w:pPr>
        <w:tabs>
          <w:tab w:val="num" w:pos="2880"/>
        </w:tabs>
        <w:ind w:left="2880" w:hanging="360"/>
      </w:pPr>
      <w:rPr>
        <w:rFonts w:ascii="Wingdings" w:hAnsi="Wingdings" w:hint="default"/>
        <w:sz w:val="20"/>
      </w:rPr>
    </w:lvl>
    <w:lvl w:ilvl="4" w:tplc="7794F612" w:tentative="1">
      <w:start w:val="1"/>
      <w:numFmt w:val="bullet"/>
      <w:lvlText w:val=""/>
      <w:lvlJc w:val="left"/>
      <w:pPr>
        <w:tabs>
          <w:tab w:val="num" w:pos="3600"/>
        </w:tabs>
        <w:ind w:left="3600" w:hanging="360"/>
      </w:pPr>
      <w:rPr>
        <w:rFonts w:ascii="Wingdings" w:hAnsi="Wingdings" w:hint="default"/>
        <w:sz w:val="20"/>
      </w:rPr>
    </w:lvl>
    <w:lvl w:ilvl="5" w:tplc="CAB07B0A" w:tentative="1">
      <w:start w:val="1"/>
      <w:numFmt w:val="bullet"/>
      <w:lvlText w:val=""/>
      <w:lvlJc w:val="left"/>
      <w:pPr>
        <w:tabs>
          <w:tab w:val="num" w:pos="4320"/>
        </w:tabs>
        <w:ind w:left="4320" w:hanging="360"/>
      </w:pPr>
      <w:rPr>
        <w:rFonts w:ascii="Wingdings" w:hAnsi="Wingdings" w:hint="default"/>
        <w:sz w:val="20"/>
      </w:rPr>
    </w:lvl>
    <w:lvl w:ilvl="6" w:tplc="961660FE" w:tentative="1">
      <w:start w:val="1"/>
      <w:numFmt w:val="bullet"/>
      <w:lvlText w:val=""/>
      <w:lvlJc w:val="left"/>
      <w:pPr>
        <w:tabs>
          <w:tab w:val="num" w:pos="5040"/>
        </w:tabs>
        <w:ind w:left="5040" w:hanging="360"/>
      </w:pPr>
      <w:rPr>
        <w:rFonts w:ascii="Wingdings" w:hAnsi="Wingdings" w:hint="default"/>
        <w:sz w:val="20"/>
      </w:rPr>
    </w:lvl>
    <w:lvl w:ilvl="7" w:tplc="821857CE" w:tentative="1">
      <w:start w:val="1"/>
      <w:numFmt w:val="bullet"/>
      <w:lvlText w:val=""/>
      <w:lvlJc w:val="left"/>
      <w:pPr>
        <w:tabs>
          <w:tab w:val="num" w:pos="5760"/>
        </w:tabs>
        <w:ind w:left="5760" w:hanging="360"/>
      </w:pPr>
      <w:rPr>
        <w:rFonts w:ascii="Wingdings" w:hAnsi="Wingdings" w:hint="default"/>
        <w:sz w:val="20"/>
      </w:rPr>
    </w:lvl>
    <w:lvl w:ilvl="8" w:tplc="11D442D2"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72106C"/>
    <w:multiLevelType w:val="hybridMultilevel"/>
    <w:tmpl w:val="485AFBCA"/>
    <w:lvl w:ilvl="0" w:tplc="0409000F">
      <w:start w:val="1"/>
      <w:numFmt w:val="decimal"/>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8" w15:restartNumberingAfterBreak="0">
    <w:nsid w:val="60DB6DF6"/>
    <w:multiLevelType w:val="hybridMultilevel"/>
    <w:tmpl w:val="A7AE507A"/>
    <w:lvl w:ilvl="0" w:tplc="D87C99D6">
      <w:start w:val="1"/>
      <w:numFmt w:val="bullet"/>
      <w:lvlText w:val=""/>
      <w:lvlJc w:val="left"/>
      <w:pPr>
        <w:tabs>
          <w:tab w:val="num" w:pos="720"/>
        </w:tabs>
        <w:ind w:left="720" w:hanging="360"/>
      </w:pPr>
      <w:rPr>
        <w:rFonts w:ascii="Symbol" w:hAnsi="Symbol" w:hint="default"/>
        <w:sz w:val="20"/>
      </w:rPr>
    </w:lvl>
    <w:lvl w:ilvl="1" w:tplc="0B0AD5B6" w:tentative="1">
      <w:start w:val="1"/>
      <w:numFmt w:val="bullet"/>
      <w:lvlText w:val="o"/>
      <w:lvlJc w:val="left"/>
      <w:pPr>
        <w:tabs>
          <w:tab w:val="num" w:pos="1440"/>
        </w:tabs>
        <w:ind w:left="1440" w:hanging="360"/>
      </w:pPr>
      <w:rPr>
        <w:rFonts w:ascii="Courier New" w:hAnsi="Courier New" w:hint="default"/>
        <w:sz w:val="20"/>
      </w:rPr>
    </w:lvl>
    <w:lvl w:ilvl="2" w:tplc="2E96B1DC" w:tentative="1">
      <w:start w:val="1"/>
      <w:numFmt w:val="bullet"/>
      <w:lvlText w:val=""/>
      <w:lvlJc w:val="left"/>
      <w:pPr>
        <w:tabs>
          <w:tab w:val="num" w:pos="2160"/>
        </w:tabs>
        <w:ind w:left="2160" w:hanging="360"/>
      </w:pPr>
      <w:rPr>
        <w:rFonts w:ascii="Wingdings" w:hAnsi="Wingdings" w:hint="default"/>
        <w:sz w:val="20"/>
      </w:rPr>
    </w:lvl>
    <w:lvl w:ilvl="3" w:tplc="E8A0D116" w:tentative="1">
      <w:start w:val="1"/>
      <w:numFmt w:val="bullet"/>
      <w:lvlText w:val=""/>
      <w:lvlJc w:val="left"/>
      <w:pPr>
        <w:tabs>
          <w:tab w:val="num" w:pos="2880"/>
        </w:tabs>
        <w:ind w:left="2880" w:hanging="360"/>
      </w:pPr>
      <w:rPr>
        <w:rFonts w:ascii="Wingdings" w:hAnsi="Wingdings" w:hint="default"/>
        <w:sz w:val="20"/>
      </w:rPr>
    </w:lvl>
    <w:lvl w:ilvl="4" w:tplc="E2349220" w:tentative="1">
      <w:start w:val="1"/>
      <w:numFmt w:val="bullet"/>
      <w:lvlText w:val=""/>
      <w:lvlJc w:val="left"/>
      <w:pPr>
        <w:tabs>
          <w:tab w:val="num" w:pos="3600"/>
        </w:tabs>
        <w:ind w:left="3600" w:hanging="360"/>
      </w:pPr>
      <w:rPr>
        <w:rFonts w:ascii="Wingdings" w:hAnsi="Wingdings" w:hint="default"/>
        <w:sz w:val="20"/>
      </w:rPr>
    </w:lvl>
    <w:lvl w:ilvl="5" w:tplc="3B20BB1A" w:tentative="1">
      <w:start w:val="1"/>
      <w:numFmt w:val="bullet"/>
      <w:lvlText w:val=""/>
      <w:lvlJc w:val="left"/>
      <w:pPr>
        <w:tabs>
          <w:tab w:val="num" w:pos="4320"/>
        </w:tabs>
        <w:ind w:left="4320" w:hanging="360"/>
      </w:pPr>
      <w:rPr>
        <w:rFonts w:ascii="Wingdings" w:hAnsi="Wingdings" w:hint="default"/>
        <w:sz w:val="20"/>
      </w:rPr>
    </w:lvl>
    <w:lvl w:ilvl="6" w:tplc="7048D49A" w:tentative="1">
      <w:start w:val="1"/>
      <w:numFmt w:val="bullet"/>
      <w:lvlText w:val=""/>
      <w:lvlJc w:val="left"/>
      <w:pPr>
        <w:tabs>
          <w:tab w:val="num" w:pos="5040"/>
        </w:tabs>
        <w:ind w:left="5040" w:hanging="360"/>
      </w:pPr>
      <w:rPr>
        <w:rFonts w:ascii="Wingdings" w:hAnsi="Wingdings" w:hint="default"/>
        <w:sz w:val="20"/>
      </w:rPr>
    </w:lvl>
    <w:lvl w:ilvl="7" w:tplc="CB6A17DA" w:tentative="1">
      <w:start w:val="1"/>
      <w:numFmt w:val="bullet"/>
      <w:lvlText w:val=""/>
      <w:lvlJc w:val="left"/>
      <w:pPr>
        <w:tabs>
          <w:tab w:val="num" w:pos="5760"/>
        </w:tabs>
        <w:ind w:left="5760" w:hanging="360"/>
      </w:pPr>
      <w:rPr>
        <w:rFonts w:ascii="Wingdings" w:hAnsi="Wingdings" w:hint="default"/>
        <w:sz w:val="20"/>
      </w:rPr>
    </w:lvl>
    <w:lvl w:ilvl="8" w:tplc="6BECB0B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717CBC"/>
    <w:multiLevelType w:val="hybridMultilevel"/>
    <w:tmpl w:val="77DCA08C"/>
    <w:lvl w:ilvl="0" w:tplc="0409000F">
      <w:start w:val="1"/>
      <w:numFmt w:val="decimal"/>
      <w:lvlText w:val="%1."/>
      <w:lvlJc w:val="left"/>
      <w:pPr>
        <w:tabs>
          <w:tab w:val="num" w:pos="360"/>
        </w:tabs>
        <w:ind w:left="360" w:hanging="360"/>
      </w:pPr>
    </w:lvl>
    <w:lvl w:ilvl="1" w:tplc="7AEAD7CA">
      <w:start w:val="1"/>
      <w:numFmt w:val="lowerLetter"/>
      <w:lvlText w:val="%2."/>
      <w:lvlJc w:val="left"/>
      <w:pPr>
        <w:tabs>
          <w:tab w:val="num" w:pos="1080"/>
        </w:tabs>
        <w:ind w:left="1080" w:hanging="360"/>
      </w:pPr>
      <w:rPr>
        <w:rFonts w:hint="default"/>
      </w:rPr>
    </w:lvl>
    <w:lvl w:ilvl="2" w:tplc="4C1C29EE">
      <w:start w:val="1"/>
      <w:numFmt w:val="decimal"/>
      <w:lvlText w:val="%3)"/>
      <w:lvlJc w:val="left"/>
      <w:pPr>
        <w:tabs>
          <w:tab w:val="num" w:pos="1980"/>
        </w:tabs>
        <w:ind w:left="1980" w:hanging="360"/>
      </w:pPr>
      <w:rPr>
        <w:rFonts w:hint="default"/>
      </w:rPr>
    </w:lvl>
    <w:lvl w:ilvl="3" w:tplc="04090017">
      <w:start w:val="1"/>
      <w:numFmt w:val="lowerLetter"/>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AE23CF0"/>
    <w:multiLevelType w:val="hybridMultilevel"/>
    <w:tmpl w:val="07602912"/>
    <w:lvl w:ilvl="0" w:tplc="113CA382">
      <w:start w:val="1"/>
      <w:numFmt w:val="bullet"/>
      <w:lvlText w:val=""/>
      <w:lvlJc w:val="left"/>
      <w:pPr>
        <w:tabs>
          <w:tab w:val="num" w:pos="720"/>
        </w:tabs>
        <w:ind w:left="720" w:hanging="360"/>
      </w:pPr>
      <w:rPr>
        <w:rFonts w:ascii="Symbol" w:hAnsi="Symbol" w:hint="default"/>
        <w:sz w:val="20"/>
      </w:rPr>
    </w:lvl>
    <w:lvl w:ilvl="1" w:tplc="391A1096" w:tentative="1">
      <w:start w:val="1"/>
      <w:numFmt w:val="bullet"/>
      <w:lvlText w:val="o"/>
      <w:lvlJc w:val="left"/>
      <w:pPr>
        <w:tabs>
          <w:tab w:val="num" w:pos="1440"/>
        </w:tabs>
        <w:ind w:left="1440" w:hanging="360"/>
      </w:pPr>
      <w:rPr>
        <w:rFonts w:ascii="Courier New" w:hAnsi="Courier New" w:hint="default"/>
        <w:sz w:val="20"/>
      </w:rPr>
    </w:lvl>
    <w:lvl w:ilvl="2" w:tplc="88C69C20" w:tentative="1">
      <w:start w:val="1"/>
      <w:numFmt w:val="bullet"/>
      <w:lvlText w:val=""/>
      <w:lvlJc w:val="left"/>
      <w:pPr>
        <w:tabs>
          <w:tab w:val="num" w:pos="2160"/>
        </w:tabs>
        <w:ind w:left="2160" w:hanging="360"/>
      </w:pPr>
      <w:rPr>
        <w:rFonts w:ascii="Wingdings" w:hAnsi="Wingdings" w:hint="default"/>
        <w:sz w:val="20"/>
      </w:rPr>
    </w:lvl>
    <w:lvl w:ilvl="3" w:tplc="190C55F8" w:tentative="1">
      <w:start w:val="1"/>
      <w:numFmt w:val="bullet"/>
      <w:lvlText w:val=""/>
      <w:lvlJc w:val="left"/>
      <w:pPr>
        <w:tabs>
          <w:tab w:val="num" w:pos="2880"/>
        </w:tabs>
        <w:ind w:left="2880" w:hanging="360"/>
      </w:pPr>
      <w:rPr>
        <w:rFonts w:ascii="Wingdings" w:hAnsi="Wingdings" w:hint="default"/>
        <w:sz w:val="20"/>
      </w:rPr>
    </w:lvl>
    <w:lvl w:ilvl="4" w:tplc="77962AF0" w:tentative="1">
      <w:start w:val="1"/>
      <w:numFmt w:val="bullet"/>
      <w:lvlText w:val=""/>
      <w:lvlJc w:val="left"/>
      <w:pPr>
        <w:tabs>
          <w:tab w:val="num" w:pos="3600"/>
        </w:tabs>
        <w:ind w:left="3600" w:hanging="360"/>
      </w:pPr>
      <w:rPr>
        <w:rFonts w:ascii="Wingdings" w:hAnsi="Wingdings" w:hint="default"/>
        <w:sz w:val="20"/>
      </w:rPr>
    </w:lvl>
    <w:lvl w:ilvl="5" w:tplc="C07CEE34" w:tentative="1">
      <w:start w:val="1"/>
      <w:numFmt w:val="bullet"/>
      <w:lvlText w:val=""/>
      <w:lvlJc w:val="left"/>
      <w:pPr>
        <w:tabs>
          <w:tab w:val="num" w:pos="4320"/>
        </w:tabs>
        <w:ind w:left="4320" w:hanging="360"/>
      </w:pPr>
      <w:rPr>
        <w:rFonts w:ascii="Wingdings" w:hAnsi="Wingdings" w:hint="default"/>
        <w:sz w:val="20"/>
      </w:rPr>
    </w:lvl>
    <w:lvl w:ilvl="6" w:tplc="CC8A6D12" w:tentative="1">
      <w:start w:val="1"/>
      <w:numFmt w:val="bullet"/>
      <w:lvlText w:val=""/>
      <w:lvlJc w:val="left"/>
      <w:pPr>
        <w:tabs>
          <w:tab w:val="num" w:pos="5040"/>
        </w:tabs>
        <w:ind w:left="5040" w:hanging="360"/>
      </w:pPr>
      <w:rPr>
        <w:rFonts w:ascii="Wingdings" w:hAnsi="Wingdings" w:hint="default"/>
        <w:sz w:val="20"/>
      </w:rPr>
    </w:lvl>
    <w:lvl w:ilvl="7" w:tplc="E2C2EF86" w:tentative="1">
      <w:start w:val="1"/>
      <w:numFmt w:val="bullet"/>
      <w:lvlText w:val=""/>
      <w:lvlJc w:val="left"/>
      <w:pPr>
        <w:tabs>
          <w:tab w:val="num" w:pos="5760"/>
        </w:tabs>
        <w:ind w:left="5760" w:hanging="360"/>
      </w:pPr>
      <w:rPr>
        <w:rFonts w:ascii="Wingdings" w:hAnsi="Wingdings" w:hint="default"/>
        <w:sz w:val="20"/>
      </w:rPr>
    </w:lvl>
    <w:lvl w:ilvl="8" w:tplc="8E8065B0"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43AAD"/>
    <w:multiLevelType w:val="hybridMultilevel"/>
    <w:tmpl w:val="81029F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BB73FA"/>
    <w:multiLevelType w:val="hybridMultilevel"/>
    <w:tmpl w:val="15442DFE"/>
    <w:lvl w:ilvl="0" w:tplc="EFE6EB00">
      <w:start w:val="1"/>
      <w:numFmt w:val="bullet"/>
      <w:lvlText w:val=""/>
      <w:lvlJc w:val="left"/>
      <w:pPr>
        <w:tabs>
          <w:tab w:val="num" w:pos="720"/>
        </w:tabs>
        <w:ind w:left="720" w:hanging="360"/>
      </w:pPr>
      <w:rPr>
        <w:rFonts w:ascii="Symbol" w:hAnsi="Symbol" w:hint="default"/>
        <w:sz w:val="20"/>
      </w:rPr>
    </w:lvl>
    <w:lvl w:ilvl="1" w:tplc="F5E609BE" w:tentative="1">
      <w:start w:val="1"/>
      <w:numFmt w:val="bullet"/>
      <w:lvlText w:val="o"/>
      <w:lvlJc w:val="left"/>
      <w:pPr>
        <w:tabs>
          <w:tab w:val="num" w:pos="1440"/>
        </w:tabs>
        <w:ind w:left="1440" w:hanging="360"/>
      </w:pPr>
      <w:rPr>
        <w:rFonts w:ascii="Courier New" w:hAnsi="Courier New" w:hint="default"/>
        <w:sz w:val="20"/>
      </w:rPr>
    </w:lvl>
    <w:lvl w:ilvl="2" w:tplc="3F783E08" w:tentative="1">
      <w:start w:val="1"/>
      <w:numFmt w:val="bullet"/>
      <w:lvlText w:val=""/>
      <w:lvlJc w:val="left"/>
      <w:pPr>
        <w:tabs>
          <w:tab w:val="num" w:pos="2160"/>
        </w:tabs>
        <w:ind w:left="2160" w:hanging="360"/>
      </w:pPr>
      <w:rPr>
        <w:rFonts w:ascii="Wingdings" w:hAnsi="Wingdings" w:hint="default"/>
        <w:sz w:val="20"/>
      </w:rPr>
    </w:lvl>
    <w:lvl w:ilvl="3" w:tplc="237EE71C" w:tentative="1">
      <w:start w:val="1"/>
      <w:numFmt w:val="bullet"/>
      <w:lvlText w:val=""/>
      <w:lvlJc w:val="left"/>
      <w:pPr>
        <w:tabs>
          <w:tab w:val="num" w:pos="2880"/>
        </w:tabs>
        <w:ind w:left="2880" w:hanging="360"/>
      </w:pPr>
      <w:rPr>
        <w:rFonts w:ascii="Wingdings" w:hAnsi="Wingdings" w:hint="default"/>
        <w:sz w:val="20"/>
      </w:rPr>
    </w:lvl>
    <w:lvl w:ilvl="4" w:tplc="A634C890" w:tentative="1">
      <w:start w:val="1"/>
      <w:numFmt w:val="bullet"/>
      <w:lvlText w:val=""/>
      <w:lvlJc w:val="left"/>
      <w:pPr>
        <w:tabs>
          <w:tab w:val="num" w:pos="3600"/>
        </w:tabs>
        <w:ind w:left="3600" w:hanging="360"/>
      </w:pPr>
      <w:rPr>
        <w:rFonts w:ascii="Wingdings" w:hAnsi="Wingdings" w:hint="default"/>
        <w:sz w:val="20"/>
      </w:rPr>
    </w:lvl>
    <w:lvl w:ilvl="5" w:tplc="E0BAE276" w:tentative="1">
      <w:start w:val="1"/>
      <w:numFmt w:val="bullet"/>
      <w:lvlText w:val=""/>
      <w:lvlJc w:val="left"/>
      <w:pPr>
        <w:tabs>
          <w:tab w:val="num" w:pos="4320"/>
        </w:tabs>
        <w:ind w:left="4320" w:hanging="360"/>
      </w:pPr>
      <w:rPr>
        <w:rFonts w:ascii="Wingdings" w:hAnsi="Wingdings" w:hint="default"/>
        <w:sz w:val="20"/>
      </w:rPr>
    </w:lvl>
    <w:lvl w:ilvl="6" w:tplc="5DD6704C" w:tentative="1">
      <w:start w:val="1"/>
      <w:numFmt w:val="bullet"/>
      <w:lvlText w:val=""/>
      <w:lvlJc w:val="left"/>
      <w:pPr>
        <w:tabs>
          <w:tab w:val="num" w:pos="5040"/>
        </w:tabs>
        <w:ind w:left="5040" w:hanging="360"/>
      </w:pPr>
      <w:rPr>
        <w:rFonts w:ascii="Wingdings" w:hAnsi="Wingdings" w:hint="default"/>
        <w:sz w:val="20"/>
      </w:rPr>
    </w:lvl>
    <w:lvl w:ilvl="7" w:tplc="6C987BDA" w:tentative="1">
      <w:start w:val="1"/>
      <w:numFmt w:val="bullet"/>
      <w:lvlText w:val=""/>
      <w:lvlJc w:val="left"/>
      <w:pPr>
        <w:tabs>
          <w:tab w:val="num" w:pos="5760"/>
        </w:tabs>
        <w:ind w:left="5760" w:hanging="360"/>
      </w:pPr>
      <w:rPr>
        <w:rFonts w:ascii="Wingdings" w:hAnsi="Wingdings" w:hint="default"/>
        <w:sz w:val="20"/>
      </w:rPr>
    </w:lvl>
    <w:lvl w:ilvl="8" w:tplc="FD62482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5A4036"/>
    <w:multiLevelType w:val="hybridMultilevel"/>
    <w:tmpl w:val="35AEA122"/>
    <w:lvl w:ilvl="0" w:tplc="3BBCFDDC">
      <w:start w:val="1"/>
      <w:numFmt w:val="bullet"/>
      <w:lvlText w:val=""/>
      <w:lvlJc w:val="left"/>
      <w:pPr>
        <w:tabs>
          <w:tab w:val="num" w:pos="720"/>
        </w:tabs>
        <w:ind w:left="720" w:hanging="360"/>
      </w:pPr>
      <w:rPr>
        <w:rFonts w:ascii="Symbol" w:hAnsi="Symbol" w:hint="default"/>
        <w:sz w:val="20"/>
      </w:rPr>
    </w:lvl>
    <w:lvl w:ilvl="1" w:tplc="A58C9FF2" w:tentative="1">
      <w:start w:val="1"/>
      <w:numFmt w:val="bullet"/>
      <w:lvlText w:val="o"/>
      <w:lvlJc w:val="left"/>
      <w:pPr>
        <w:tabs>
          <w:tab w:val="num" w:pos="1440"/>
        </w:tabs>
        <w:ind w:left="1440" w:hanging="360"/>
      </w:pPr>
      <w:rPr>
        <w:rFonts w:ascii="Courier New" w:hAnsi="Courier New" w:hint="default"/>
        <w:sz w:val="20"/>
      </w:rPr>
    </w:lvl>
    <w:lvl w:ilvl="2" w:tplc="ABFA293A" w:tentative="1">
      <w:start w:val="1"/>
      <w:numFmt w:val="bullet"/>
      <w:lvlText w:val=""/>
      <w:lvlJc w:val="left"/>
      <w:pPr>
        <w:tabs>
          <w:tab w:val="num" w:pos="2160"/>
        </w:tabs>
        <w:ind w:left="2160" w:hanging="360"/>
      </w:pPr>
      <w:rPr>
        <w:rFonts w:ascii="Wingdings" w:hAnsi="Wingdings" w:hint="default"/>
        <w:sz w:val="20"/>
      </w:rPr>
    </w:lvl>
    <w:lvl w:ilvl="3" w:tplc="E548B66C" w:tentative="1">
      <w:start w:val="1"/>
      <w:numFmt w:val="bullet"/>
      <w:lvlText w:val=""/>
      <w:lvlJc w:val="left"/>
      <w:pPr>
        <w:tabs>
          <w:tab w:val="num" w:pos="2880"/>
        </w:tabs>
        <w:ind w:left="2880" w:hanging="360"/>
      </w:pPr>
      <w:rPr>
        <w:rFonts w:ascii="Wingdings" w:hAnsi="Wingdings" w:hint="default"/>
        <w:sz w:val="20"/>
      </w:rPr>
    </w:lvl>
    <w:lvl w:ilvl="4" w:tplc="DB0A9548" w:tentative="1">
      <w:start w:val="1"/>
      <w:numFmt w:val="bullet"/>
      <w:lvlText w:val=""/>
      <w:lvlJc w:val="left"/>
      <w:pPr>
        <w:tabs>
          <w:tab w:val="num" w:pos="3600"/>
        </w:tabs>
        <w:ind w:left="3600" w:hanging="360"/>
      </w:pPr>
      <w:rPr>
        <w:rFonts w:ascii="Wingdings" w:hAnsi="Wingdings" w:hint="default"/>
        <w:sz w:val="20"/>
      </w:rPr>
    </w:lvl>
    <w:lvl w:ilvl="5" w:tplc="8342D920" w:tentative="1">
      <w:start w:val="1"/>
      <w:numFmt w:val="bullet"/>
      <w:lvlText w:val=""/>
      <w:lvlJc w:val="left"/>
      <w:pPr>
        <w:tabs>
          <w:tab w:val="num" w:pos="4320"/>
        </w:tabs>
        <w:ind w:left="4320" w:hanging="360"/>
      </w:pPr>
      <w:rPr>
        <w:rFonts w:ascii="Wingdings" w:hAnsi="Wingdings" w:hint="default"/>
        <w:sz w:val="20"/>
      </w:rPr>
    </w:lvl>
    <w:lvl w:ilvl="6" w:tplc="62DCF89E" w:tentative="1">
      <w:start w:val="1"/>
      <w:numFmt w:val="bullet"/>
      <w:lvlText w:val=""/>
      <w:lvlJc w:val="left"/>
      <w:pPr>
        <w:tabs>
          <w:tab w:val="num" w:pos="5040"/>
        </w:tabs>
        <w:ind w:left="5040" w:hanging="360"/>
      </w:pPr>
      <w:rPr>
        <w:rFonts w:ascii="Wingdings" w:hAnsi="Wingdings" w:hint="default"/>
        <w:sz w:val="20"/>
      </w:rPr>
    </w:lvl>
    <w:lvl w:ilvl="7" w:tplc="4F447C94" w:tentative="1">
      <w:start w:val="1"/>
      <w:numFmt w:val="bullet"/>
      <w:lvlText w:val=""/>
      <w:lvlJc w:val="left"/>
      <w:pPr>
        <w:tabs>
          <w:tab w:val="num" w:pos="5760"/>
        </w:tabs>
        <w:ind w:left="5760" w:hanging="360"/>
      </w:pPr>
      <w:rPr>
        <w:rFonts w:ascii="Wingdings" w:hAnsi="Wingdings" w:hint="default"/>
        <w:sz w:val="20"/>
      </w:rPr>
    </w:lvl>
    <w:lvl w:ilvl="8" w:tplc="C7A20B70"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3C253F"/>
    <w:multiLevelType w:val="hybridMultilevel"/>
    <w:tmpl w:val="5DA87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8"/>
  </w:num>
  <w:num w:numId="4">
    <w:abstractNumId w:val="13"/>
  </w:num>
  <w:num w:numId="5">
    <w:abstractNumId w:val="2"/>
  </w:num>
  <w:num w:numId="6">
    <w:abstractNumId w:val="10"/>
  </w:num>
  <w:num w:numId="7">
    <w:abstractNumId w:val="6"/>
  </w:num>
  <w:num w:numId="8">
    <w:abstractNumId w:val="12"/>
  </w:num>
  <w:num w:numId="9">
    <w:abstractNumId w:val="14"/>
  </w:num>
  <w:num w:numId="10">
    <w:abstractNumId w:val="3"/>
  </w:num>
  <w:num w:numId="11">
    <w:abstractNumId w:val="0"/>
  </w:num>
  <w:num w:numId="12">
    <w:abstractNumId w:val="5"/>
  </w:num>
  <w:num w:numId="13">
    <w:abstractNumId w:val="4"/>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032"/>
    <w:rsid w:val="00022804"/>
    <w:rsid w:val="000E1275"/>
    <w:rsid w:val="000F69A7"/>
    <w:rsid w:val="00161FBE"/>
    <w:rsid w:val="00246002"/>
    <w:rsid w:val="00252CD8"/>
    <w:rsid w:val="00293DBD"/>
    <w:rsid w:val="002E1164"/>
    <w:rsid w:val="002F04AE"/>
    <w:rsid w:val="00367997"/>
    <w:rsid w:val="003F12FE"/>
    <w:rsid w:val="0049783B"/>
    <w:rsid w:val="004C653F"/>
    <w:rsid w:val="004D4CB3"/>
    <w:rsid w:val="00550EC5"/>
    <w:rsid w:val="005A114A"/>
    <w:rsid w:val="005D5220"/>
    <w:rsid w:val="00611471"/>
    <w:rsid w:val="00620DEA"/>
    <w:rsid w:val="00646FC3"/>
    <w:rsid w:val="006B4D9E"/>
    <w:rsid w:val="006D15B3"/>
    <w:rsid w:val="00774FC9"/>
    <w:rsid w:val="007A14FA"/>
    <w:rsid w:val="007E5DD7"/>
    <w:rsid w:val="00822ED1"/>
    <w:rsid w:val="00823D3C"/>
    <w:rsid w:val="00827349"/>
    <w:rsid w:val="008466EA"/>
    <w:rsid w:val="00864BA5"/>
    <w:rsid w:val="008E34BB"/>
    <w:rsid w:val="00943335"/>
    <w:rsid w:val="00981F5D"/>
    <w:rsid w:val="009A431C"/>
    <w:rsid w:val="009D7E29"/>
    <w:rsid w:val="00A10225"/>
    <w:rsid w:val="00A160E6"/>
    <w:rsid w:val="00A608A6"/>
    <w:rsid w:val="00A653C0"/>
    <w:rsid w:val="00B13BD2"/>
    <w:rsid w:val="00B3610B"/>
    <w:rsid w:val="00B42032"/>
    <w:rsid w:val="00B95F6C"/>
    <w:rsid w:val="00C63801"/>
    <w:rsid w:val="00C9425A"/>
    <w:rsid w:val="00CF6D6A"/>
    <w:rsid w:val="00D06B6C"/>
    <w:rsid w:val="00D559DD"/>
    <w:rsid w:val="00D625C0"/>
    <w:rsid w:val="00DA632C"/>
    <w:rsid w:val="00E61DAD"/>
    <w:rsid w:val="00EB234D"/>
    <w:rsid w:val="00EB6C2D"/>
    <w:rsid w:val="00EC7A79"/>
    <w:rsid w:val="00F70C2C"/>
    <w:rsid w:val="00F83F59"/>
    <w:rsid w:val="00FB3359"/>
    <w:rsid w:val="00FB3532"/>
    <w:rsid w:val="00FB687B"/>
    <w:rsid w:val="00FE5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FFCE5E2"/>
  <w15:docId w15:val="{0E97FC0A-EAC0-4609-A2B4-8432CD47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03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42032"/>
    <w:pPr>
      <w:autoSpaceDE w:val="0"/>
      <w:autoSpaceDN w:val="0"/>
      <w:adjustRightInd w:val="0"/>
      <w:outlineLvl w:val="0"/>
    </w:pPr>
    <w:rPr>
      <w:rFonts w:ascii="Arial,Bold" w:hAnsi="Arial,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2032"/>
    <w:rPr>
      <w:rFonts w:ascii="Arial,Bold" w:eastAsia="Times New Roman" w:hAnsi="Arial,Bold" w:cs="Times New Roman"/>
      <w:sz w:val="24"/>
      <w:szCs w:val="24"/>
    </w:rPr>
  </w:style>
  <w:style w:type="paragraph" w:styleId="Header">
    <w:name w:val="header"/>
    <w:basedOn w:val="Normal"/>
    <w:link w:val="HeaderChar"/>
    <w:rsid w:val="00B42032"/>
    <w:pPr>
      <w:tabs>
        <w:tab w:val="center" w:pos="4320"/>
        <w:tab w:val="right" w:pos="8640"/>
      </w:tabs>
    </w:pPr>
    <w:rPr>
      <w:szCs w:val="20"/>
    </w:rPr>
  </w:style>
  <w:style w:type="character" w:customStyle="1" w:styleId="HeaderChar">
    <w:name w:val="Header Char"/>
    <w:basedOn w:val="DefaultParagraphFont"/>
    <w:link w:val="Header"/>
    <w:rsid w:val="00B42032"/>
    <w:rPr>
      <w:rFonts w:ascii="Times New Roman" w:eastAsia="Times New Roman" w:hAnsi="Times New Roman" w:cs="Times New Roman"/>
      <w:sz w:val="24"/>
      <w:szCs w:val="20"/>
    </w:rPr>
  </w:style>
  <w:style w:type="paragraph" w:styleId="Footer">
    <w:name w:val="footer"/>
    <w:basedOn w:val="Normal"/>
    <w:link w:val="FooterChar"/>
    <w:rsid w:val="00B42032"/>
    <w:pPr>
      <w:tabs>
        <w:tab w:val="center" w:pos="4320"/>
        <w:tab w:val="right" w:pos="8640"/>
      </w:tabs>
    </w:pPr>
  </w:style>
  <w:style w:type="character" w:customStyle="1" w:styleId="FooterChar">
    <w:name w:val="Footer Char"/>
    <w:basedOn w:val="DefaultParagraphFont"/>
    <w:link w:val="Footer"/>
    <w:rsid w:val="00B42032"/>
    <w:rPr>
      <w:rFonts w:ascii="Times New Roman" w:eastAsia="Times New Roman" w:hAnsi="Times New Roman" w:cs="Times New Roman"/>
      <w:sz w:val="24"/>
      <w:szCs w:val="24"/>
    </w:rPr>
  </w:style>
  <w:style w:type="character" w:styleId="PageNumber">
    <w:name w:val="page number"/>
    <w:basedOn w:val="DefaultParagraphFont"/>
    <w:rsid w:val="00B42032"/>
  </w:style>
  <w:style w:type="paragraph" w:styleId="NormalWeb">
    <w:name w:val="Normal (Web)"/>
    <w:basedOn w:val="Normal"/>
    <w:rsid w:val="00B42032"/>
    <w:pPr>
      <w:spacing w:before="100" w:beforeAutospacing="1" w:after="100" w:afterAutospacing="1"/>
    </w:pPr>
  </w:style>
  <w:style w:type="paragraph" w:styleId="BodyTextIndent">
    <w:name w:val="Body Text Indent"/>
    <w:basedOn w:val="Normal"/>
    <w:link w:val="BodyTextIndentChar"/>
    <w:rsid w:val="00B42032"/>
    <w:pPr>
      <w:spacing w:after="120"/>
      <w:ind w:left="360"/>
    </w:pPr>
    <w:rPr>
      <w:sz w:val="20"/>
      <w:szCs w:val="20"/>
    </w:rPr>
  </w:style>
  <w:style w:type="character" w:customStyle="1" w:styleId="BodyTextIndentChar">
    <w:name w:val="Body Text Indent Char"/>
    <w:basedOn w:val="DefaultParagraphFont"/>
    <w:link w:val="BodyTextIndent"/>
    <w:rsid w:val="00B42032"/>
    <w:rPr>
      <w:rFonts w:ascii="Times New Roman" w:eastAsia="Times New Roman" w:hAnsi="Times New Roman" w:cs="Times New Roman"/>
      <w:sz w:val="20"/>
      <w:szCs w:val="20"/>
    </w:rPr>
  </w:style>
  <w:style w:type="paragraph" w:styleId="List">
    <w:name w:val="List"/>
    <w:basedOn w:val="Normal"/>
    <w:rsid w:val="00B42032"/>
    <w:pPr>
      <w:ind w:left="360" w:hanging="360"/>
    </w:pPr>
    <w:rPr>
      <w:sz w:val="20"/>
      <w:szCs w:val="20"/>
    </w:rPr>
  </w:style>
  <w:style w:type="paragraph" w:styleId="FootnoteText">
    <w:name w:val="footnote text"/>
    <w:basedOn w:val="Normal"/>
    <w:link w:val="FootnoteTextChar"/>
    <w:semiHidden/>
    <w:rsid w:val="00D559DD"/>
    <w:rPr>
      <w:sz w:val="20"/>
      <w:szCs w:val="20"/>
    </w:rPr>
  </w:style>
  <w:style w:type="character" w:customStyle="1" w:styleId="FootnoteTextChar">
    <w:name w:val="Footnote Text Char"/>
    <w:basedOn w:val="DefaultParagraphFont"/>
    <w:link w:val="FootnoteText"/>
    <w:semiHidden/>
    <w:rsid w:val="00D559DD"/>
    <w:rPr>
      <w:rFonts w:ascii="Times New Roman" w:eastAsia="Times New Roman" w:hAnsi="Times New Roman" w:cs="Times New Roman"/>
      <w:sz w:val="20"/>
      <w:szCs w:val="20"/>
    </w:rPr>
  </w:style>
  <w:style w:type="character" w:styleId="FootnoteReference">
    <w:name w:val="footnote reference"/>
    <w:basedOn w:val="DefaultParagraphFont"/>
    <w:semiHidden/>
    <w:rsid w:val="00D559DD"/>
    <w:rPr>
      <w:vertAlign w:val="superscript"/>
    </w:rPr>
  </w:style>
  <w:style w:type="paragraph" w:styleId="Title">
    <w:name w:val="Title"/>
    <w:basedOn w:val="Normal"/>
    <w:link w:val="TitleChar"/>
    <w:qFormat/>
    <w:rsid w:val="00943335"/>
    <w:pPr>
      <w:overflowPunct w:val="0"/>
      <w:autoSpaceDE w:val="0"/>
      <w:autoSpaceDN w:val="0"/>
      <w:adjustRightInd w:val="0"/>
      <w:spacing w:before="240"/>
      <w:jc w:val="center"/>
      <w:textAlignment w:val="baseline"/>
    </w:pPr>
    <w:rPr>
      <w:sz w:val="28"/>
      <w:szCs w:val="20"/>
    </w:rPr>
  </w:style>
  <w:style w:type="character" w:customStyle="1" w:styleId="TitleChar">
    <w:name w:val="Title Char"/>
    <w:basedOn w:val="DefaultParagraphFont"/>
    <w:link w:val="Title"/>
    <w:rsid w:val="00943335"/>
    <w:rPr>
      <w:rFonts w:ascii="Times New Roman" w:eastAsia="Times New Roman" w:hAnsi="Times New Roman" w:cs="Times New Roman"/>
      <w:sz w:val="28"/>
      <w:szCs w:val="20"/>
    </w:rPr>
  </w:style>
  <w:style w:type="paragraph" w:styleId="BalloonText">
    <w:name w:val="Balloon Text"/>
    <w:basedOn w:val="Normal"/>
    <w:link w:val="BalloonTextChar"/>
    <w:uiPriority w:val="99"/>
    <w:semiHidden/>
    <w:unhideWhenUsed/>
    <w:rsid w:val="00943335"/>
    <w:rPr>
      <w:rFonts w:ascii="Tahoma" w:hAnsi="Tahoma" w:cs="Tahoma"/>
      <w:sz w:val="16"/>
      <w:szCs w:val="16"/>
    </w:rPr>
  </w:style>
  <w:style w:type="character" w:customStyle="1" w:styleId="BalloonTextChar">
    <w:name w:val="Balloon Text Char"/>
    <w:basedOn w:val="DefaultParagraphFont"/>
    <w:link w:val="BalloonText"/>
    <w:uiPriority w:val="99"/>
    <w:semiHidden/>
    <w:rsid w:val="00943335"/>
    <w:rPr>
      <w:rFonts w:ascii="Tahoma" w:eastAsia="Times New Roman" w:hAnsi="Tahoma" w:cs="Tahoma"/>
      <w:sz w:val="16"/>
      <w:szCs w:val="16"/>
    </w:rPr>
  </w:style>
  <w:style w:type="paragraph" w:styleId="ListParagraph">
    <w:name w:val="List Paragraph"/>
    <w:basedOn w:val="Normal"/>
    <w:uiPriority w:val="34"/>
    <w:qFormat/>
    <w:rsid w:val="00FB3532"/>
    <w:pPr>
      <w:ind w:left="720"/>
      <w:contextualSpacing/>
    </w:pPr>
  </w:style>
  <w:style w:type="paragraph" w:styleId="BodyTextIndent2">
    <w:name w:val="Body Text Indent 2"/>
    <w:basedOn w:val="Normal"/>
    <w:link w:val="BodyTextIndent2Char"/>
    <w:rsid w:val="009A431C"/>
    <w:pPr>
      <w:spacing w:after="120" w:line="480" w:lineRule="auto"/>
      <w:ind w:left="360"/>
    </w:pPr>
  </w:style>
  <w:style w:type="character" w:customStyle="1" w:styleId="BodyTextIndent2Char">
    <w:name w:val="Body Text Indent 2 Char"/>
    <w:basedOn w:val="DefaultParagraphFont"/>
    <w:link w:val="BodyTextIndent2"/>
    <w:rsid w:val="009A431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E34BB"/>
    <w:rPr>
      <w:sz w:val="16"/>
      <w:szCs w:val="16"/>
    </w:rPr>
  </w:style>
  <w:style w:type="paragraph" w:styleId="CommentText">
    <w:name w:val="annotation text"/>
    <w:basedOn w:val="Normal"/>
    <w:link w:val="CommentTextChar"/>
    <w:uiPriority w:val="99"/>
    <w:semiHidden/>
    <w:unhideWhenUsed/>
    <w:rsid w:val="008E34BB"/>
    <w:rPr>
      <w:sz w:val="20"/>
      <w:szCs w:val="20"/>
    </w:rPr>
  </w:style>
  <w:style w:type="character" w:customStyle="1" w:styleId="CommentTextChar">
    <w:name w:val="Comment Text Char"/>
    <w:basedOn w:val="DefaultParagraphFont"/>
    <w:link w:val="CommentText"/>
    <w:uiPriority w:val="99"/>
    <w:semiHidden/>
    <w:rsid w:val="008E34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34BB"/>
    <w:rPr>
      <w:b/>
      <w:bCs/>
    </w:rPr>
  </w:style>
  <w:style w:type="character" w:customStyle="1" w:styleId="CommentSubjectChar">
    <w:name w:val="Comment Subject Char"/>
    <w:basedOn w:val="CommentTextChar"/>
    <w:link w:val="CommentSubject"/>
    <w:uiPriority w:val="99"/>
    <w:semiHidden/>
    <w:rsid w:val="008E34B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88E20-81FC-4BC8-80CA-04FF3617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1638</TotalTime>
  <Pages>10</Pages>
  <Words>2625</Words>
  <Characters>14969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Connecticut Health Center</Company>
  <LinksUpToDate>false</LinksUpToDate>
  <CharactersWithSpaces>17559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Beyer</dc:creator>
  <cp:keywords/>
  <dc:description/>
  <cp:lastModifiedBy>Trutter,Thomas</cp:lastModifiedBy>
  <cp:revision>31</cp:revision>
  <cp:lastPrinted>2021-06-08T13:16:00Z</cp:lastPrinted>
  <dcterms:created xsi:type="dcterms:W3CDTF">2021-06-07T17:07:00Z</dcterms:created>
  <dcterms:modified xsi:type="dcterms:W3CDTF">2021-07-20T19:43:00Z</dcterms:modified>
</cp:coreProperties>
</file>